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F8836" w14:textId="77777777" w:rsidR="00C50431" w:rsidRDefault="00727C5F">
      <w:pPr>
        <w:spacing w:after="1" w:line="259" w:lineRule="auto"/>
        <w:ind w:left="10" w:right="3516"/>
        <w:jc w:val="right"/>
        <w:rPr>
          <w:b/>
        </w:rPr>
      </w:pPr>
      <w:r>
        <w:rPr>
          <w:b/>
        </w:rPr>
        <w:t xml:space="preserve">PRODUKTRESUMÉ </w:t>
      </w:r>
    </w:p>
    <w:p w14:paraId="374F8837" w14:textId="77777777" w:rsidR="00C50431" w:rsidRDefault="00C50431">
      <w:pPr>
        <w:spacing w:after="1" w:line="259" w:lineRule="auto"/>
        <w:ind w:left="10" w:right="3516"/>
        <w:jc w:val="right"/>
      </w:pPr>
    </w:p>
    <w:p w14:paraId="374F8838" w14:textId="77777777" w:rsidR="00C50431" w:rsidRDefault="00727C5F">
      <w:pPr>
        <w:numPr>
          <w:ilvl w:val="0"/>
          <w:numId w:val="1"/>
        </w:numPr>
        <w:spacing w:after="11"/>
        <w:ind w:hanging="566"/>
      </w:pPr>
      <w:r>
        <w:rPr>
          <w:b/>
        </w:rPr>
        <w:t>DET VETERINÄRMEDICINSKA LÄKEMEDLETS NAMN</w:t>
      </w:r>
    </w:p>
    <w:p w14:paraId="374F8839" w14:textId="77777777" w:rsidR="00C50431" w:rsidRDefault="00C50431">
      <w:pPr>
        <w:spacing w:after="0" w:line="259" w:lineRule="auto"/>
        <w:ind w:left="34" w:firstLine="0"/>
      </w:pPr>
    </w:p>
    <w:p w14:paraId="374F883A" w14:textId="77777777" w:rsidR="00C50431" w:rsidRDefault="00727C5F">
      <w:pPr>
        <w:ind w:left="29"/>
      </w:pPr>
      <w:proofErr w:type="spellStart"/>
      <w:r>
        <w:t>Robexera</w:t>
      </w:r>
      <w:proofErr w:type="spellEnd"/>
      <w:r>
        <w:t xml:space="preserve"> vet 20 mg/ml injektionsvätska, lösning för katter och hundar</w:t>
      </w:r>
    </w:p>
    <w:p w14:paraId="374F883B" w14:textId="77777777" w:rsidR="00C50431" w:rsidRDefault="00C50431">
      <w:pPr>
        <w:spacing w:after="9" w:line="259" w:lineRule="auto"/>
        <w:ind w:left="34" w:firstLine="0"/>
      </w:pPr>
    </w:p>
    <w:p w14:paraId="374F883C" w14:textId="77777777" w:rsidR="00C50431" w:rsidRDefault="00C50431">
      <w:pPr>
        <w:spacing w:after="9" w:line="259" w:lineRule="auto"/>
        <w:ind w:left="34" w:firstLine="0"/>
      </w:pPr>
    </w:p>
    <w:p w14:paraId="374F883D" w14:textId="77777777" w:rsidR="00C50431" w:rsidRDefault="00727C5F">
      <w:pPr>
        <w:numPr>
          <w:ilvl w:val="0"/>
          <w:numId w:val="1"/>
        </w:numPr>
        <w:spacing w:after="11"/>
        <w:ind w:hanging="566"/>
      </w:pPr>
      <w:r>
        <w:rPr>
          <w:b/>
        </w:rPr>
        <w:t>KVALITATIV OCH KVANTITATIV SAMMANSÄTTNING</w:t>
      </w:r>
    </w:p>
    <w:p w14:paraId="374F883E" w14:textId="77777777" w:rsidR="00C50431" w:rsidRDefault="00C50431">
      <w:pPr>
        <w:spacing w:after="0" w:line="259" w:lineRule="auto"/>
        <w:ind w:left="34" w:firstLine="0"/>
      </w:pPr>
    </w:p>
    <w:p w14:paraId="374F883F" w14:textId="77777777" w:rsidR="00C50431" w:rsidRDefault="00727C5F">
      <w:pPr>
        <w:spacing w:after="0" w:line="259" w:lineRule="auto"/>
        <w:ind w:left="34" w:firstLine="0"/>
      </w:pPr>
      <w:r>
        <w:t>Varje ml innehåller:</w:t>
      </w:r>
    </w:p>
    <w:p w14:paraId="374F8840" w14:textId="77777777" w:rsidR="00C50431" w:rsidRDefault="00C50431">
      <w:pPr>
        <w:spacing w:after="0" w:line="259" w:lineRule="auto"/>
        <w:ind w:left="34" w:firstLine="0"/>
      </w:pPr>
    </w:p>
    <w:p w14:paraId="374F8841" w14:textId="77777777" w:rsidR="00C50431" w:rsidRDefault="00727C5F">
      <w:pPr>
        <w:spacing w:after="11"/>
        <w:ind w:left="29"/>
      </w:pPr>
      <w:r>
        <w:rPr>
          <w:b/>
        </w:rPr>
        <w:t>Aktiv substans:</w:t>
      </w:r>
    </w:p>
    <w:p w14:paraId="374F8842" w14:textId="77777777" w:rsidR="00C50431" w:rsidRDefault="00C50431">
      <w:pPr>
        <w:spacing w:after="0" w:line="259" w:lineRule="auto"/>
        <w:ind w:left="34" w:firstLine="0"/>
      </w:pPr>
    </w:p>
    <w:p w14:paraId="374F8843" w14:textId="77777777" w:rsidR="00C50431" w:rsidRDefault="00727C5F">
      <w:pPr>
        <w:spacing w:after="11"/>
        <w:ind w:left="29"/>
        <w:rPr>
          <w:bCs/>
        </w:rPr>
      </w:pPr>
      <w:proofErr w:type="spellStart"/>
      <w:r>
        <w:rPr>
          <w:bCs/>
        </w:rPr>
        <w:t>Robenacoxib</w:t>
      </w:r>
      <w:proofErr w:type="spellEnd"/>
      <w:r>
        <w:rPr>
          <w:bCs/>
        </w:rPr>
        <w:tab/>
      </w:r>
      <w:r>
        <w:rPr>
          <w:bCs/>
        </w:rPr>
        <w:tab/>
        <w:t>20 mg</w:t>
      </w:r>
    </w:p>
    <w:p w14:paraId="374F8844" w14:textId="77777777" w:rsidR="00C50431" w:rsidRDefault="00C50431">
      <w:pPr>
        <w:spacing w:after="0" w:line="259" w:lineRule="auto"/>
        <w:ind w:left="34" w:firstLine="0"/>
      </w:pPr>
    </w:p>
    <w:p w14:paraId="374F8845" w14:textId="77777777" w:rsidR="00C50431" w:rsidRDefault="00727C5F">
      <w:pPr>
        <w:pStyle w:val="Overskrift1"/>
        <w:ind w:left="29" w:right="0"/>
      </w:pPr>
      <w:r>
        <w:t>Hjälpämnen:</w:t>
      </w:r>
    </w:p>
    <w:p w14:paraId="374F8846" w14:textId="77777777" w:rsidR="00C50431" w:rsidRDefault="00C50431">
      <w:pPr>
        <w:spacing w:after="0" w:line="259" w:lineRule="auto"/>
        <w:ind w:left="34" w:firstLine="0"/>
      </w:pPr>
    </w:p>
    <w:tbl>
      <w:tblPr>
        <w:tblStyle w:val="TableGrid"/>
        <w:tblW w:w="9062" w:type="dxa"/>
        <w:tblInd w:w="39" w:type="dxa"/>
        <w:tblCellMar>
          <w:top w:w="121" w:type="dxa"/>
          <w:left w:w="106" w:type="dxa"/>
          <w:right w:w="115" w:type="dxa"/>
        </w:tblCellMar>
        <w:tblLook w:val="04A0" w:firstRow="1" w:lastRow="0" w:firstColumn="1" w:lastColumn="0" w:noHBand="0" w:noVBand="1"/>
      </w:tblPr>
      <w:tblGrid>
        <w:gridCol w:w="4531"/>
        <w:gridCol w:w="4531"/>
      </w:tblGrid>
      <w:tr w:rsidR="00C50431" w14:paraId="374F8849" w14:textId="77777777">
        <w:trPr>
          <w:trHeight w:val="910"/>
        </w:trPr>
        <w:tc>
          <w:tcPr>
            <w:tcW w:w="4531" w:type="dxa"/>
            <w:tcBorders>
              <w:top w:val="single" w:sz="4" w:space="0" w:color="000000"/>
              <w:left w:val="single" w:sz="4" w:space="0" w:color="000000"/>
              <w:bottom w:val="single" w:sz="4" w:space="0" w:color="000000"/>
              <w:right w:val="single" w:sz="4" w:space="0" w:color="000000"/>
            </w:tcBorders>
            <w:vAlign w:val="center"/>
          </w:tcPr>
          <w:p w14:paraId="374F8847" w14:textId="77777777" w:rsidR="00C50431" w:rsidRDefault="00727C5F">
            <w:pPr>
              <w:spacing w:after="0" w:line="259" w:lineRule="auto"/>
              <w:ind w:left="2" w:firstLine="0"/>
            </w:pPr>
            <w:r>
              <w:rPr>
                <w:b/>
              </w:rPr>
              <w:t>Kvalitativ sammansättning av hjälpämnen och andra beståndsdelar</w:t>
            </w:r>
          </w:p>
        </w:tc>
        <w:tc>
          <w:tcPr>
            <w:tcW w:w="4531" w:type="dxa"/>
            <w:tcBorders>
              <w:top w:val="single" w:sz="4" w:space="0" w:color="000000"/>
              <w:left w:val="single" w:sz="4" w:space="0" w:color="000000"/>
              <w:bottom w:val="single" w:sz="4" w:space="0" w:color="000000"/>
              <w:right w:val="single" w:sz="4" w:space="0" w:color="000000"/>
            </w:tcBorders>
          </w:tcPr>
          <w:p w14:paraId="374F8848" w14:textId="77777777" w:rsidR="00C50431" w:rsidRDefault="00727C5F">
            <w:pPr>
              <w:spacing w:after="0" w:line="259" w:lineRule="auto"/>
              <w:ind w:left="0" w:firstLine="0"/>
            </w:pPr>
            <w:r>
              <w:rPr>
                <w:b/>
              </w:rPr>
              <w:t>Kvantitativ sammansättning om informationen behövs för korrekt administrering av läkemedlet</w:t>
            </w:r>
          </w:p>
        </w:tc>
      </w:tr>
      <w:tr w:rsidR="00C50431" w14:paraId="374F884C" w14:textId="77777777">
        <w:trPr>
          <w:trHeight w:val="389"/>
        </w:trPr>
        <w:tc>
          <w:tcPr>
            <w:tcW w:w="4531" w:type="dxa"/>
            <w:tcBorders>
              <w:top w:val="single" w:sz="4" w:space="0" w:color="000000"/>
              <w:left w:val="single" w:sz="4" w:space="0" w:color="000000"/>
              <w:bottom w:val="single" w:sz="4" w:space="0" w:color="000000"/>
              <w:right w:val="single" w:sz="4" w:space="0" w:color="000000"/>
            </w:tcBorders>
          </w:tcPr>
          <w:p w14:paraId="374F884A" w14:textId="77777777" w:rsidR="00C50431" w:rsidRDefault="00727C5F">
            <w:pPr>
              <w:spacing w:after="0" w:line="259" w:lineRule="auto"/>
              <w:ind w:left="2" w:firstLine="0"/>
            </w:pPr>
            <w:proofErr w:type="spellStart"/>
            <w:r>
              <w:t>Natriummetabisulfit</w:t>
            </w:r>
            <w:proofErr w:type="spellEnd"/>
            <w:r>
              <w:t xml:space="preserve"> (E223)</w:t>
            </w:r>
          </w:p>
        </w:tc>
        <w:tc>
          <w:tcPr>
            <w:tcW w:w="4531" w:type="dxa"/>
            <w:tcBorders>
              <w:top w:val="single" w:sz="4" w:space="0" w:color="000000"/>
              <w:left w:val="single" w:sz="4" w:space="0" w:color="000000"/>
              <w:bottom w:val="single" w:sz="4" w:space="0" w:color="000000"/>
              <w:right w:val="single" w:sz="4" w:space="0" w:color="000000"/>
            </w:tcBorders>
          </w:tcPr>
          <w:p w14:paraId="374F884B" w14:textId="77777777" w:rsidR="00C50431" w:rsidRDefault="00727C5F">
            <w:pPr>
              <w:spacing w:after="0" w:line="259" w:lineRule="auto"/>
              <w:ind w:left="0" w:firstLine="0"/>
            </w:pPr>
            <w:r>
              <w:t>1 mg</w:t>
            </w:r>
          </w:p>
        </w:tc>
      </w:tr>
      <w:tr w:rsidR="00C50431" w14:paraId="374F884F" w14:textId="77777777">
        <w:trPr>
          <w:trHeight w:val="391"/>
        </w:trPr>
        <w:tc>
          <w:tcPr>
            <w:tcW w:w="4531" w:type="dxa"/>
            <w:tcBorders>
              <w:top w:val="single" w:sz="4" w:space="0" w:color="000000"/>
              <w:left w:val="single" w:sz="4" w:space="0" w:color="000000"/>
              <w:bottom w:val="single" w:sz="4" w:space="0" w:color="000000"/>
              <w:right w:val="single" w:sz="4" w:space="0" w:color="000000"/>
            </w:tcBorders>
          </w:tcPr>
          <w:p w14:paraId="374F884D" w14:textId="77777777" w:rsidR="00C50431" w:rsidRDefault="00727C5F">
            <w:pPr>
              <w:spacing w:after="0" w:line="259" w:lineRule="auto"/>
              <w:ind w:left="2" w:firstLine="0"/>
            </w:pPr>
            <w:proofErr w:type="spellStart"/>
            <w:r>
              <w:t>Makrogol</w:t>
            </w:r>
            <w:proofErr w:type="spellEnd"/>
            <w:r>
              <w:t xml:space="preserve"> 400</w:t>
            </w:r>
          </w:p>
        </w:tc>
        <w:tc>
          <w:tcPr>
            <w:tcW w:w="4531" w:type="dxa"/>
            <w:tcBorders>
              <w:top w:val="single" w:sz="4" w:space="0" w:color="000000"/>
              <w:left w:val="single" w:sz="4" w:space="0" w:color="000000"/>
              <w:bottom w:val="single" w:sz="4" w:space="0" w:color="000000"/>
              <w:right w:val="single" w:sz="4" w:space="0" w:color="000000"/>
            </w:tcBorders>
          </w:tcPr>
          <w:p w14:paraId="374F884E" w14:textId="77777777" w:rsidR="00C50431" w:rsidRDefault="00C50431">
            <w:pPr>
              <w:spacing w:after="0" w:line="259" w:lineRule="auto"/>
              <w:ind w:left="0" w:firstLine="0"/>
            </w:pPr>
          </w:p>
        </w:tc>
      </w:tr>
      <w:tr w:rsidR="00C50431" w14:paraId="374F8852" w14:textId="77777777">
        <w:trPr>
          <w:trHeight w:val="389"/>
        </w:trPr>
        <w:tc>
          <w:tcPr>
            <w:tcW w:w="4531" w:type="dxa"/>
            <w:tcBorders>
              <w:top w:val="single" w:sz="4" w:space="0" w:color="000000"/>
              <w:left w:val="single" w:sz="4" w:space="0" w:color="000000"/>
              <w:bottom w:val="single" w:sz="4" w:space="0" w:color="000000"/>
              <w:right w:val="single" w:sz="4" w:space="0" w:color="000000"/>
            </w:tcBorders>
          </w:tcPr>
          <w:p w14:paraId="374F8850" w14:textId="77777777" w:rsidR="00C50431" w:rsidRDefault="00727C5F">
            <w:pPr>
              <w:spacing w:after="0" w:line="259" w:lineRule="auto"/>
              <w:ind w:left="2" w:firstLine="0"/>
            </w:pPr>
            <w:r>
              <w:t>Etanol (96 %)</w:t>
            </w:r>
          </w:p>
        </w:tc>
        <w:tc>
          <w:tcPr>
            <w:tcW w:w="4531" w:type="dxa"/>
            <w:tcBorders>
              <w:top w:val="single" w:sz="4" w:space="0" w:color="000000"/>
              <w:left w:val="single" w:sz="4" w:space="0" w:color="000000"/>
              <w:bottom w:val="single" w:sz="4" w:space="0" w:color="000000"/>
              <w:right w:val="single" w:sz="4" w:space="0" w:color="000000"/>
            </w:tcBorders>
          </w:tcPr>
          <w:p w14:paraId="374F8851" w14:textId="77777777" w:rsidR="00C50431" w:rsidRDefault="00727C5F">
            <w:pPr>
              <w:spacing w:after="0" w:line="259" w:lineRule="auto"/>
              <w:ind w:left="0" w:firstLine="0"/>
            </w:pPr>
            <w:r>
              <w:t>128 mg</w:t>
            </w:r>
          </w:p>
        </w:tc>
      </w:tr>
      <w:tr w:rsidR="00C50431" w14:paraId="374F8855" w14:textId="77777777">
        <w:trPr>
          <w:trHeight w:val="391"/>
        </w:trPr>
        <w:tc>
          <w:tcPr>
            <w:tcW w:w="4531" w:type="dxa"/>
            <w:tcBorders>
              <w:top w:val="single" w:sz="4" w:space="0" w:color="000000"/>
              <w:left w:val="single" w:sz="4" w:space="0" w:color="000000"/>
              <w:bottom w:val="single" w:sz="4" w:space="0" w:color="000000"/>
              <w:right w:val="single" w:sz="4" w:space="0" w:color="000000"/>
            </w:tcBorders>
          </w:tcPr>
          <w:p w14:paraId="374F8853" w14:textId="77777777" w:rsidR="00C50431" w:rsidRDefault="00727C5F">
            <w:pPr>
              <w:spacing w:after="0" w:line="259" w:lineRule="auto"/>
              <w:ind w:left="2" w:firstLine="0"/>
            </w:pPr>
            <w:proofErr w:type="spellStart"/>
            <w:r>
              <w:t>Poloxamer</w:t>
            </w:r>
            <w:proofErr w:type="spellEnd"/>
            <w:r>
              <w:t xml:space="preserve"> 188</w:t>
            </w:r>
          </w:p>
        </w:tc>
        <w:tc>
          <w:tcPr>
            <w:tcW w:w="4531" w:type="dxa"/>
            <w:tcBorders>
              <w:top w:val="single" w:sz="4" w:space="0" w:color="000000"/>
              <w:left w:val="single" w:sz="4" w:space="0" w:color="000000"/>
              <w:bottom w:val="single" w:sz="4" w:space="0" w:color="000000"/>
              <w:right w:val="single" w:sz="4" w:space="0" w:color="000000"/>
            </w:tcBorders>
          </w:tcPr>
          <w:p w14:paraId="374F8854" w14:textId="77777777" w:rsidR="00C50431" w:rsidRDefault="00C50431">
            <w:pPr>
              <w:spacing w:after="0" w:line="259" w:lineRule="auto"/>
              <w:ind w:left="0" w:firstLine="0"/>
            </w:pPr>
          </w:p>
        </w:tc>
      </w:tr>
      <w:tr w:rsidR="00C50431" w14:paraId="374F8858" w14:textId="77777777">
        <w:trPr>
          <w:trHeight w:val="391"/>
        </w:trPr>
        <w:tc>
          <w:tcPr>
            <w:tcW w:w="4531" w:type="dxa"/>
            <w:tcBorders>
              <w:top w:val="single" w:sz="4" w:space="0" w:color="000000"/>
              <w:left w:val="single" w:sz="4" w:space="0" w:color="000000"/>
              <w:bottom w:val="single" w:sz="4" w:space="0" w:color="000000"/>
              <w:right w:val="single" w:sz="4" w:space="0" w:color="000000"/>
            </w:tcBorders>
          </w:tcPr>
          <w:p w14:paraId="374F8856" w14:textId="77777777" w:rsidR="00C50431" w:rsidRDefault="00727C5F">
            <w:pPr>
              <w:spacing w:after="0" w:line="259" w:lineRule="auto"/>
              <w:ind w:left="2" w:firstLine="0"/>
            </w:pPr>
            <w:r>
              <w:t>Citronsyra</w:t>
            </w:r>
          </w:p>
        </w:tc>
        <w:tc>
          <w:tcPr>
            <w:tcW w:w="4531" w:type="dxa"/>
            <w:tcBorders>
              <w:top w:val="single" w:sz="4" w:space="0" w:color="000000"/>
              <w:left w:val="single" w:sz="4" w:space="0" w:color="000000"/>
              <w:bottom w:val="single" w:sz="4" w:space="0" w:color="000000"/>
              <w:right w:val="single" w:sz="4" w:space="0" w:color="000000"/>
            </w:tcBorders>
          </w:tcPr>
          <w:p w14:paraId="374F8857" w14:textId="77777777" w:rsidR="00C50431" w:rsidRDefault="00C50431">
            <w:pPr>
              <w:spacing w:after="0" w:line="259" w:lineRule="auto"/>
              <w:ind w:left="0" w:firstLine="0"/>
            </w:pPr>
          </w:p>
        </w:tc>
      </w:tr>
      <w:tr w:rsidR="00C50431" w14:paraId="374F885B" w14:textId="77777777">
        <w:trPr>
          <w:trHeight w:val="391"/>
        </w:trPr>
        <w:tc>
          <w:tcPr>
            <w:tcW w:w="4531" w:type="dxa"/>
            <w:tcBorders>
              <w:top w:val="single" w:sz="4" w:space="0" w:color="000000"/>
              <w:left w:val="single" w:sz="4" w:space="0" w:color="000000"/>
              <w:bottom w:val="single" w:sz="4" w:space="0" w:color="000000"/>
              <w:right w:val="single" w:sz="4" w:space="0" w:color="000000"/>
            </w:tcBorders>
          </w:tcPr>
          <w:p w14:paraId="374F8859" w14:textId="77777777" w:rsidR="00C50431" w:rsidRDefault="00727C5F">
            <w:pPr>
              <w:spacing w:after="0" w:line="259" w:lineRule="auto"/>
              <w:ind w:left="2" w:firstLine="0"/>
            </w:pPr>
            <w:r>
              <w:t>Natriumhydroxid</w:t>
            </w:r>
          </w:p>
        </w:tc>
        <w:tc>
          <w:tcPr>
            <w:tcW w:w="4531" w:type="dxa"/>
            <w:tcBorders>
              <w:top w:val="single" w:sz="4" w:space="0" w:color="000000"/>
              <w:left w:val="single" w:sz="4" w:space="0" w:color="000000"/>
              <w:bottom w:val="single" w:sz="4" w:space="0" w:color="000000"/>
              <w:right w:val="single" w:sz="4" w:space="0" w:color="000000"/>
            </w:tcBorders>
          </w:tcPr>
          <w:p w14:paraId="374F885A" w14:textId="77777777" w:rsidR="00C50431" w:rsidRDefault="00C50431">
            <w:pPr>
              <w:spacing w:after="0" w:line="259" w:lineRule="auto"/>
              <w:ind w:left="0" w:firstLine="0"/>
            </w:pPr>
          </w:p>
        </w:tc>
      </w:tr>
      <w:tr w:rsidR="00C50431" w14:paraId="374F885E" w14:textId="77777777">
        <w:trPr>
          <w:trHeight w:val="391"/>
        </w:trPr>
        <w:tc>
          <w:tcPr>
            <w:tcW w:w="4531" w:type="dxa"/>
            <w:tcBorders>
              <w:top w:val="single" w:sz="4" w:space="0" w:color="000000"/>
              <w:left w:val="single" w:sz="4" w:space="0" w:color="000000"/>
              <w:bottom w:val="single" w:sz="4" w:space="0" w:color="000000"/>
              <w:right w:val="single" w:sz="4" w:space="0" w:color="000000"/>
            </w:tcBorders>
          </w:tcPr>
          <w:p w14:paraId="374F885C" w14:textId="77777777" w:rsidR="00C50431" w:rsidRDefault="00727C5F">
            <w:pPr>
              <w:spacing w:after="0" w:line="259" w:lineRule="auto"/>
              <w:ind w:left="2" w:firstLine="0"/>
            </w:pPr>
            <w:r>
              <w:t>Vatten för injektionsvätskor</w:t>
            </w:r>
          </w:p>
        </w:tc>
        <w:tc>
          <w:tcPr>
            <w:tcW w:w="4531" w:type="dxa"/>
            <w:tcBorders>
              <w:top w:val="single" w:sz="4" w:space="0" w:color="000000"/>
              <w:left w:val="single" w:sz="4" w:space="0" w:color="000000"/>
              <w:bottom w:val="single" w:sz="4" w:space="0" w:color="000000"/>
              <w:right w:val="single" w:sz="4" w:space="0" w:color="000000"/>
            </w:tcBorders>
          </w:tcPr>
          <w:p w14:paraId="374F885D" w14:textId="77777777" w:rsidR="00C50431" w:rsidRDefault="00C50431">
            <w:pPr>
              <w:spacing w:after="0" w:line="259" w:lineRule="auto"/>
              <w:ind w:left="0" w:firstLine="0"/>
            </w:pPr>
          </w:p>
        </w:tc>
      </w:tr>
    </w:tbl>
    <w:p w14:paraId="374F885F" w14:textId="77777777" w:rsidR="00C50431" w:rsidRDefault="00C50431">
      <w:pPr>
        <w:spacing w:after="0" w:line="259" w:lineRule="auto"/>
        <w:ind w:left="34" w:firstLine="0"/>
      </w:pPr>
    </w:p>
    <w:p w14:paraId="374F8860" w14:textId="77777777" w:rsidR="00C50431" w:rsidRDefault="00727C5F">
      <w:pPr>
        <w:spacing w:after="0" w:line="259" w:lineRule="auto"/>
        <w:ind w:left="34" w:firstLine="0"/>
      </w:pPr>
      <w:r>
        <w:t>Klar, färglös till svagt brun-gul vätska.</w:t>
      </w:r>
    </w:p>
    <w:p w14:paraId="374F8861" w14:textId="77777777" w:rsidR="00C50431" w:rsidRDefault="00C50431">
      <w:pPr>
        <w:spacing w:after="6" w:line="259" w:lineRule="auto"/>
        <w:ind w:left="34" w:firstLine="0"/>
      </w:pPr>
    </w:p>
    <w:p w14:paraId="374F8862" w14:textId="77777777" w:rsidR="00C50431" w:rsidRDefault="00C50431">
      <w:pPr>
        <w:spacing w:after="6" w:line="259" w:lineRule="auto"/>
        <w:ind w:left="34" w:firstLine="0"/>
      </w:pPr>
    </w:p>
    <w:p w14:paraId="374F8863" w14:textId="77777777" w:rsidR="00C50431" w:rsidRDefault="00727C5F">
      <w:pPr>
        <w:pStyle w:val="Overskrift1"/>
        <w:tabs>
          <w:tab w:val="center" w:pos="1815"/>
        </w:tabs>
        <w:ind w:left="0" w:right="0" w:firstLine="0"/>
      </w:pPr>
      <w:r>
        <w:t>3.</w:t>
      </w:r>
      <w:r>
        <w:tab/>
        <w:t>KLINISKA UPPGIFTER</w:t>
      </w:r>
    </w:p>
    <w:p w14:paraId="374F8864" w14:textId="77777777" w:rsidR="00C50431" w:rsidRDefault="00C50431">
      <w:pPr>
        <w:spacing w:after="6" w:line="259" w:lineRule="auto"/>
        <w:ind w:left="34" w:firstLine="0"/>
      </w:pPr>
    </w:p>
    <w:p w14:paraId="374F8865" w14:textId="77777777" w:rsidR="00C50431" w:rsidRDefault="00727C5F">
      <w:pPr>
        <w:tabs>
          <w:tab w:val="center" w:pos="1011"/>
        </w:tabs>
        <w:spacing w:after="11"/>
        <w:ind w:left="0" w:firstLine="0"/>
      </w:pPr>
      <w:r>
        <w:rPr>
          <w:b/>
        </w:rPr>
        <w:t>3.1</w:t>
      </w:r>
      <w:r>
        <w:rPr>
          <w:b/>
        </w:rPr>
        <w:tab/>
        <w:t>Djurslag</w:t>
      </w:r>
    </w:p>
    <w:p w14:paraId="374F8866" w14:textId="77777777" w:rsidR="00C50431" w:rsidRDefault="00C50431">
      <w:pPr>
        <w:spacing w:after="6" w:line="259" w:lineRule="auto"/>
        <w:ind w:left="34" w:firstLine="0"/>
      </w:pPr>
    </w:p>
    <w:p w14:paraId="374F8867" w14:textId="77777777" w:rsidR="00C50431" w:rsidRDefault="00727C5F">
      <w:pPr>
        <w:spacing w:after="6" w:line="259" w:lineRule="auto"/>
        <w:ind w:left="34" w:firstLine="0"/>
      </w:pPr>
      <w:r>
        <w:t>Katt och hund</w:t>
      </w:r>
    </w:p>
    <w:p w14:paraId="374F8868" w14:textId="77777777" w:rsidR="00C50431" w:rsidRDefault="00C50431">
      <w:pPr>
        <w:spacing w:after="6" w:line="259" w:lineRule="auto"/>
        <w:ind w:left="34" w:firstLine="0"/>
      </w:pPr>
    </w:p>
    <w:p w14:paraId="374F8869" w14:textId="77777777" w:rsidR="00C50431" w:rsidRDefault="00727C5F">
      <w:pPr>
        <w:pStyle w:val="Overskrift2"/>
        <w:tabs>
          <w:tab w:val="center" w:pos="2054"/>
        </w:tabs>
        <w:ind w:left="0" w:right="0" w:firstLine="0"/>
      </w:pPr>
      <w:r>
        <w:t>3.2</w:t>
      </w:r>
      <w:r>
        <w:tab/>
        <w:t>Indikationer för varje djurslag</w:t>
      </w:r>
    </w:p>
    <w:p w14:paraId="374F886A" w14:textId="77777777" w:rsidR="00C50431" w:rsidRDefault="00C50431">
      <w:pPr>
        <w:spacing w:after="0" w:line="259" w:lineRule="auto"/>
        <w:ind w:left="34" w:firstLine="0"/>
      </w:pPr>
    </w:p>
    <w:p w14:paraId="374F886B" w14:textId="77777777" w:rsidR="00C50431" w:rsidRDefault="00727C5F">
      <w:pPr>
        <w:spacing w:after="0" w:line="259" w:lineRule="auto"/>
        <w:ind w:left="34" w:firstLine="0"/>
      </w:pPr>
      <w:r>
        <w:t>För behandling av smärta och inflammation i samband med ortopedisk kirurgi eller mjukdelskirurgi.</w:t>
      </w:r>
    </w:p>
    <w:p w14:paraId="374F886C" w14:textId="77777777" w:rsidR="00C50431" w:rsidRDefault="00C50431">
      <w:pPr>
        <w:spacing w:after="9" w:line="259" w:lineRule="auto"/>
        <w:ind w:left="34" w:firstLine="0"/>
      </w:pPr>
    </w:p>
    <w:p w14:paraId="374F886D" w14:textId="77777777" w:rsidR="00C50431" w:rsidRDefault="00727C5F">
      <w:pPr>
        <w:pStyle w:val="Overskrift2"/>
        <w:tabs>
          <w:tab w:val="center" w:pos="1524"/>
        </w:tabs>
        <w:ind w:left="0" w:right="0" w:firstLine="0"/>
      </w:pPr>
      <w:r>
        <w:t>3.3</w:t>
      </w:r>
      <w:r>
        <w:tab/>
        <w:t>Kontraindikationer</w:t>
      </w:r>
    </w:p>
    <w:p w14:paraId="374F886E" w14:textId="77777777" w:rsidR="00C50431" w:rsidRDefault="00C50431">
      <w:pPr>
        <w:spacing w:after="0" w:line="259" w:lineRule="auto"/>
        <w:ind w:left="34" w:firstLine="0"/>
      </w:pPr>
    </w:p>
    <w:p w14:paraId="374F886F" w14:textId="77777777" w:rsidR="00C50431" w:rsidRDefault="00727C5F">
      <w:pPr>
        <w:ind w:left="29"/>
      </w:pPr>
      <w:r>
        <w:t>Använd inte till djur som lider av mag-/tarmsår.</w:t>
      </w:r>
    </w:p>
    <w:p w14:paraId="374F8870" w14:textId="77777777" w:rsidR="00C50431" w:rsidRDefault="00727C5F">
      <w:pPr>
        <w:ind w:left="29"/>
      </w:pPr>
      <w:r>
        <w:lastRenderedPageBreak/>
        <w:t>Använd inte samtidigt med kortikosteroider eller andra icke-</w:t>
      </w:r>
      <w:proofErr w:type="spellStart"/>
      <w:r>
        <w:t>steroida</w:t>
      </w:r>
      <w:proofErr w:type="spellEnd"/>
      <w:r>
        <w:t xml:space="preserve"> antiinflammatoriska medel (NSAID).</w:t>
      </w:r>
    </w:p>
    <w:p w14:paraId="374F8871" w14:textId="77777777" w:rsidR="00C50431" w:rsidRDefault="00727C5F">
      <w:pPr>
        <w:ind w:left="29"/>
      </w:pPr>
      <w:r>
        <w:t>Använd inte vid överkänslighet mot den aktiva substansen eller mot något av hjälpämnena.</w:t>
      </w:r>
    </w:p>
    <w:p w14:paraId="374F8872" w14:textId="77777777" w:rsidR="00C50431" w:rsidRDefault="00727C5F">
      <w:pPr>
        <w:ind w:left="29"/>
      </w:pPr>
      <w:r>
        <w:t>(Se avsnitt 3.7).</w:t>
      </w:r>
    </w:p>
    <w:p w14:paraId="374F8873" w14:textId="77777777" w:rsidR="00C50431" w:rsidRDefault="00C50431">
      <w:pPr>
        <w:spacing w:after="6" w:line="259" w:lineRule="auto"/>
        <w:ind w:left="34" w:firstLine="0"/>
      </w:pPr>
    </w:p>
    <w:p w14:paraId="374F8874" w14:textId="77777777" w:rsidR="00C50431" w:rsidRDefault="00727C5F">
      <w:pPr>
        <w:pStyle w:val="Overskrift2"/>
        <w:tabs>
          <w:tab w:val="center" w:pos="1546"/>
        </w:tabs>
        <w:ind w:left="0" w:right="0" w:firstLine="0"/>
      </w:pPr>
      <w:r>
        <w:t>3.4</w:t>
      </w:r>
      <w:r>
        <w:tab/>
        <w:t>Särskilda varningar</w:t>
      </w:r>
    </w:p>
    <w:p w14:paraId="374F8875" w14:textId="77777777" w:rsidR="00C50431" w:rsidRDefault="00C50431">
      <w:pPr>
        <w:spacing w:after="0" w:line="259" w:lineRule="auto"/>
        <w:ind w:left="34" w:firstLine="0"/>
      </w:pPr>
    </w:p>
    <w:p w14:paraId="374F8876" w14:textId="77777777" w:rsidR="00C50431" w:rsidRDefault="00727C5F">
      <w:pPr>
        <w:ind w:left="29"/>
      </w:pPr>
      <w:r>
        <w:t>Inga.</w:t>
      </w:r>
    </w:p>
    <w:p w14:paraId="374F8877" w14:textId="77777777" w:rsidR="00C50431" w:rsidRDefault="00C50431">
      <w:pPr>
        <w:spacing w:after="9" w:line="259" w:lineRule="auto"/>
        <w:ind w:left="0" w:firstLine="0"/>
      </w:pPr>
    </w:p>
    <w:p w14:paraId="374F8878" w14:textId="77777777" w:rsidR="00C50431" w:rsidRDefault="00727C5F">
      <w:pPr>
        <w:pStyle w:val="Overskrift2"/>
        <w:tabs>
          <w:tab w:val="center" w:pos="2829"/>
        </w:tabs>
        <w:ind w:left="0" w:right="0" w:firstLine="0"/>
      </w:pPr>
      <w:r>
        <w:t>3.5</w:t>
      </w:r>
      <w:r>
        <w:tab/>
        <w:t>Särskilda försiktighetsåtgärder vid användning</w:t>
      </w:r>
    </w:p>
    <w:p w14:paraId="374F8879" w14:textId="77777777" w:rsidR="00C50431" w:rsidRDefault="00C50431">
      <w:pPr>
        <w:spacing w:after="0" w:line="259" w:lineRule="auto"/>
        <w:ind w:left="34" w:firstLine="0"/>
      </w:pPr>
    </w:p>
    <w:p w14:paraId="374F887A" w14:textId="77777777" w:rsidR="00C50431" w:rsidRDefault="00727C5F">
      <w:pPr>
        <w:spacing w:after="5" w:line="252" w:lineRule="auto"/>
        <w:ind w:left="29"/>
      </w:pPr>
      <w:r>
        <w:rPr>
          <w:u w:val="single" w:color="000000"/>
        </w:rPr>
        <w:t>Särskilda försiktighetsåtgärder för säker användning till avsedda djurslag:</w:t>
      </w:r>
    </w:p>
    <w:p w14:paraId="374F887B" w14:textId="77777777" w:rsidR="00C50431" w:rsidRDefault="00727C5F">
      <w:pPr>
        <w:spacing w:after="5" w:line="252" w:lineRule="auto"/>
      </w:pPr>
      <w:r>
        <w:t>Detta läkemedels säkerhet har inte fastställts för katter som är yngre än 4 månader och hundar som är yngre än 2 månader, och inte heller för katter eller hundar som väger mindre än 2,5 kg.</w:t>
      </w:r>
    </w:p>
    <w:p w14:paraId="374F887C" w14:textId="77777777" w:rsidR="00C50431" w:rsidRDefault="00C50431">
      <w:pPr>
        <w:spacing w:after="5" w:line="252" w:lineRule="auto"/>
      </w:pPr>
    </w:p>
    <w:p w14:paraId="374F887D" w14:textId="77777777" w:rsidR="00C50431" w:rsidRDefault="00727C5F">
      <w:pPr>
        <w:spacing w:after="5" w:line="252" w:lineRule="auto"/>
        <w:ind w:left="29"/>
      </w:pPr>
      <w:r>
        <w:t xml:space="preserve">Användning till djur med nedsatt hjärt-, njur- eller leverfunktion eller till djur som är uttorkade, </w:t>
      </w:r>
      <w:proofErr w:type="spellStart"/>
      <w:r>
        <w:t>hypovolemiska</w:t>
      </w:r>
      <w:proofErr w:type="spellEnd"/>
      <w:r>
        <w:t xml:space="preserve"> eller har lågt blodtryck kan innebära ytterligare risker. Om användning inte kan undvikas måste dessa djur följas med noggranna kontroller och vätsketerapi.</w:t>
      </w:r>
    </w:p>
    <w:p w14:paraId="374F887E" w14:textId="77777777" w:rsidR="00C50431" w:rsidRDefault="00C50431">
      <w:pPr>
        <w:spacing w:after="5" w:line="252" w:lineRule="auto"/>
        <w:ind w:left="29"/>
      </w:pPr>
    </w:p>
    <w:p w14:paraId="374F887F" w14:textId="77777777" w:rsidR="00C50431" w:rsidRDefault="00727C5F">
      <w:pPr>
        <w:spacing w:after="5" w:line="252" w:lineRule="auto"/>
        <w:ind w:left="29"/>
      </w:pPr>
      <w:r>
        <w:t>Vid användning av detta läkemedel till djur med risk för sårbildning i mag‑tarmkanalen, eller till djur som tidigare har uppvisat intolerans mot andra NSAID, krävs strikt uppföljning av veterinär.</w:t>
      </w:r>
    </w:p>
    <w:p w14:paraId="374F8880" w14:textId="77777777" w:rsidR="00C50431" w:rsidRDefault="00C50431">
      <w:pPr>
        <w:spacing w:after="0" w:line="259" w:lineRule="auto"/>
        <w:ind w:left="34" w:firstLine="0"/>
      </w:pPr>
    </w:p>
    <w:p w14:paraId="374F8881" w14:textId="77777777" w:rsidR="00C50431" w:rsidRDefault="00727C5F">
      <w:pPr>
        <w:spacing w:after="5" w:line="252" w:lineRule="auto"/>
        <w:ind w:left="29"/>
      </w:pPr>
      <w:r>
        <w:rPr>
          <w:u w:val="single" w:color="000000"/>
        </w:rPr>
        <w:t>Särskilda försiktighetsåtgärder för personer som administrerar läkemedlet till djur:</w:t>
      </w:r>
    </w:p>
    <w:p w14:paraId="374F8882" w14:textId="77777777" w:rsidR="00C50431" w:rsidRDefault="00727C5F">
      <w:pPr>
        <w:spacing w:after="0" w:line="259" w:lineRule="auto"/>
        <w:ind w:left="34" w:firstLine="0"/>
      </w:pPr>
      <w:r>
        <w:t xml:space="preserve">För gravida kvinnor, i synnerhet i graviditetens slutskede, ökar oavsiktlig injektion och långvarig hudexponering risken för prematur slutning av </w:t>
      </w:r>
      <w:proofErr w:type="spellStart"/>
      <w:r>
        <w:t>ductus</w:t>
      </w:r>
      <w:proofErr w:type="spellEnd"/>
      <w:r>
        <w:t xml:space="preserve"> </w:t>
      </w:r>
      <w:proofErr w:type="spellStart"/>
      <w:r>
        <w:t>arteriosus</w:t>
      </w:r>
      <w:proofErr w:type="spellEnd"/>
      <w:r>
        <w:t xml:space="preserve"> hos fostret.</w:t>
      </w:r>
    </w:p>
    <w:p w14:paraId="374F8883" w14:textId="77777777" w:rsidR="00C50431" w:rsidRDefault="00727C5F">
      <w:pPr>
        <w:spacing w:after="0" w:line="259" w:lineRule="auto"/>
        <w:ind w:left="34" w:firstLine="0"/>
      </w:pPr>
      <w:r>
        <w:t>Tvätta händerna och exponerad hud efter användning av läkemedlet.</w:t>
      </w:r>
    </w:p>
    <w:p w14:paraId="374F8884" w14:textId="77777777" w:rsidR="00C50431" w:rsidRDefault="00727C5F">
      <w:pPr>
        <w:spacing w:after="0" w:line="259" w:lineRule="auto"/>
        <w:ind w:left="34" w:firstLine="0"/>
      </w:pPr>
      <w:r>
        <w:t>Vid oavsiktlig oral exponering (hand till mun), långvarig hudexponering eller självinjektion, uppsök genast läkare och visa bipacksedeln eller etiketten.</w:t>
      </w:r>
    </w:p>
    <w:p w14:paraId="374F8885" w14:textId="77777777" w:rsidR="00C50431" w:rsidRDefault="00C50431">
      <w:pPr>
        <w:spacing w:after="0" w:line="259" w:lineRule="auto"/>
        <w:ind w:left="0" w:firstLine="0"/>
      </w:pPr>
    </w:p>
    <w:p w14:paraId="374F8886" w14:textId="77777777" w:rsidR="00C50431" w:rsidRDefault="00727C5F">
      <w:pPr>
        <w:spacing w:after="5" w:line="252" w:lineRule="auto"/>
        <w:ind w:left="29"/>
      </w:pPr>
      <w:r>
        <w:rPr>
          <w:u w:val="single" w:color="000000"/>
        </w:rPr>
        <w:t>Särskilda försiktighetsåtgärder för skydd av miljön:</w:t>
      </w:r>
    </w:p>
    <w:p w14:paraId="374F8887" w14:textId="77777777" w:rsidR="00C50431" w:rsidRDefault="00727C5F">
      <w:pPr>
        <w:ind w:left="0" w:firstLine="0"/>
      </w:pPr>
      <w:r>
        <w:t>Ej relevant.</w:t>
      </w:r>
    </w:p>
    <w:p w14:paraId="374F8888" w14:textId="77777777" w:rsidR="00C50431" w:rsidRDefault="00C50431">
      <w:pPr>
        <w:spacing w:after="6" w:line="259" w:lineRule="auto"/>
        <w:ind w:left="0" w:firstLine="0"/>
      </w:pPr>
    </w:p>
    <w:p w14:paraId="374F8889" w14:textId="77777777" w:rsidR="00C50431" w:rsidRDefault="00727C5F">
      <w:pPr>
        <w:pStyle w:val="Overskrift2"/>
        <w:tabs>
          <w:tab w:val="center" w:pos="1231"/>
        </w:tabs>
        <w:ind w:left="0" w:right="0" w:firstLine="0"/>
      </w:pPr>
      <w:r>
        <w:t>3.6</w:t>
      </w:r>
      <w:r>
        <w:tab/>
        <w:t xml:space="preserve">Biverkningar </w:t>
      </w:r>
    </w:p>
    <w:p w14:paraId="374F888A" w14:textId="77777777" w:rsidR="00C50431" w:rsidRDefault="00C50431">
      <w:pPr>
        <w:spacing w:after="0" w:line="259" w:lineRule="auto"/>
        <w:ind w:left="34" w:firstLine="0"/>
      </w:pPr>
    </w:p>
    <w:p w14:paraId="374F888B" w14:textId="77777777" w:rsidR="00C50431" w:rsidRDefault="00727C5F">
      <w:pPr>
        <w:ind w:left="29"/>
      </w:pPr>
      <w:r>
        <w:t>Katt:</w:t>
      </w:r>
    </w:p>
    <w:p w14:paraId="374F888C" w14:textId="77777777" w:rsidR="00C50431" w:rsidRDefault="00C50431">
      <w:pPr>
        <w:rPr>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0"/>
        <w:gridCol w:w="5535"/>
      </w:tblGrid>
      <w:tr w:rsidR="00C50431" w14:paraId="374F8892" w14:textId="77777777">
        <w:tc>
          <w:tcPr>
            <w:tcW w:w="1957" w:type="pct"/>
          </w:tcPr>
          <w:p w14:paraId="374F888D" w14:textId="77777777" w:rsidR="00C50431" w:rsidRDefault="00727C5F">
            <w:pPr>
              <w:spacing w:before="60" w:after="60"/>
              <w:ind w:left="0" w:firstLine="0"/>
            </w:pPr>
            <w:r>
              <w:t>Vanliga</w:t>
            </w:r>
          </w:p>
          <w:p w14:paraId="374F888E" w14:textId="77777777" w:rsidR="00C50431" w:rsidRDefault="00C50431">
            <w:pPr>
              <w:spacing w:before="60" w:after="60"/>
              <w:ind w:left="0" w:firstLine="0"/>
            </w:pPr>
          </w:p>
          <w:p w14:paraId="374F888F" w14:textId="77777777" w:rsidR="00C50431" w:rsidRDefault="00727C5F">
            <w:pPr>
              <w:spacing w:before="60" w:after="60"/>
            </w:pPr>
            <w:r>
              <w:t>(1 till 10 av 100 behandlade djur):</w:t>
            </w:r>
          </w:p>
        </w:tc>
        <w:tc>
          <w:tcPr>
            <w:tcW w:w="3043" w:type="pct"/>
            <w:hideMark/>
          </w:tcPr>
          <w:p w14:paraId="374F8890" w14:textId="77777777" w:rsidR="00C50431" w:rsidRDefault="00727C5F">
            <w:pPr>
              <w:spacing w:before="60" w:after="60"/>
              <w:ind w:left="0" w:firstLine="0"/>
              <w:rPr>
                <w:iCs/>
              </w:rPr>
            </w:pPr>
            <w:r>
              <w:rPr>
                <w:iCs/>
              </w:rPr>
              <w:t>Smärta vid injektionsstället</w:t>
            </w:r>
          </w:p>
          <w:p w14:paraId="374F8891" w14:textId="77777777" w:rsidR="00C50431" w:rsidRDefault="00727C5F">
            <w:pPr>
              <w:spacing w:before="60" w:after="60"/>
              <w:ind w:left="0" w:firstLine="0"/>
              <w:rPr>
                <w:iCs/>
              </w:rPr>
            </w:pPr>
            <w:r>
              <w:rPr>
                <w:iCs/>
              </w:rPr>
              <w:t>Gastrointestinala biverkningar</w:t>
            </w:r>
            <w:r>
              <w:rPr>
                <w:iCs/>
                <w:vertAlign w:val="superscript"/>
              </w:rPr>
              <w:t>1</w:t>
            </w:r>
            <w:r>
              <w:rPr>
                <w:iCs/>
              </w:rPr>
              <w:t>, diarré</w:t>
            </w:r>
            <w:r>
              <w:rPr>
                <w:iCs/>
                <w:vertAlign w:val="superscript"/>
              </w:rPr>
              <w:t>1</w:t>
            </w:r>
            <w:r>
              <w:rPr>
                <w:iCs/>
              </w:rPr>
              <w:t>, kräkningar</w:t>
            </w:r>
            <w:r>
              <w:rPr>
                <w:iCs/>
                <w:vertAlign w:val="superscript"/>
              </w:rPr>
              <w:t>1</w:t>
            </w:r>
          </w:p>
        </w:tc>
      </w:tr>
      <w:tr w:rsidR="00C50431" w14:paraId="374F8897" w14:textId="77777777">
        <w:tc>
          <w:tcPr>
            <w:tcW w:w="1957" w:type="pct"/>
          </w:tcPr>
          <w:p w14:paraId="374F8893" w14:textId="77777777" w:rsidR="00C50431" w:rsidRDefault="00727C5F">
            <w:pPr>
              <w:spacing w:before="60" w:after="60"/>
            </w:pPr>
            <w:r>
              <w:t>Mindre vanliga</w:t>
            </w:r>
          </w:p>
          <w:p w14:paraId="374F8894" w14:textId="77777777" w:rsidR="00C50431" w:rsidRDefault="00C50431">
            <w:pPr>
              <w:spacing w:before="60" w:after="60"/>
              <w:ind w:left="0" w:firstLine="0"/>
            </w:pPr>
          </w:p>
          <w:p w14:paraId="374F8895" w14:textId="77777777" w:rsidR="00C50431" w:rsidRDefault="00727C5F">
            <w:pPr>
              <w:spacing w:before="60" w:after="60"/>
            </w:pPr>
            <w:r>
              <w:t xml:space="preserve">(1 till 10 av 1 000 behandlade djur): </w:t>
            </w:r>
          </w:p>
        </w:tc>
        <w:tc>
          <w:tcPr>
            <w:tcW w:w="3043" w:type="pct"/>
          </w:tcPr>
          <w:p w14:paraId="374F8896" w14:textId="77777777" w:rsidR="00C50431" w:rsidRDefault="00727C5F">
            <w:pPr>
              <w:spacing w:before="60" w:after="60"/>
              <w:ind w:left="0" w:firstLine="0"/>
              <w:rPr>
                <w:iCs/>
              </w:rPr>
            </w:pPr>
            <w:r>
              <w:rPr>
                <w:iCs/>
              </w:rPr>
              <w:t>Blodig diarré, blodkräkningar</w:t>
            </w:r>
          </w:p>
        </w:tc>
      </w:tr>
    </w:tbl>
    <w:p w14:paraId="374F8898" w14:textId="77777777" w:rsidR="00C50431" w:rsidRDefault="00727C5F">
      <w:pPr>
        <w:ind w:left="0" w:firstLine="0"/>
      </w:pPr>
      <w:r>
        <w:rPr>
          <w:vertAlign w:val="superscript"/>
        </w:rPr>
        <w:t>1</w:t>
      </w:r>
      <w:r>
        <w:t xml:space="preserve"> De flesta fall var lindriga och avtog utan behandling.</w:t>
      </w:r>
    </w:p>
    <w:p w14:paraId="374F8899" w14:textId="77777777" w:rsidR="00C50431" w:rsidRDefault="00C50431">
      <w:pPr>
        <w:ind w:left="0" w:firstLine="0"/>
        <w:rPr>
          <w:iCs/>
        </w:rPr>
      </w:pPr>
    </w:p>
    <w:p w14:paraId="374F889A" w14:textId="77777777" w:rsidR="00C50431" w:rsidRDefault="00727C5F">
      <w:pPr>
        <w:rPr>
          <w:iCs/>
        </w:rPr>
      </w:pPr>
      <w:r>
        <w:rPr>
          <w:iCs/>
        </w:rPr>
        <w:t>Hund:</w:t>
      </w:r>
    </w:p>
    <w:p w14:paraId="374F889B" w14:textId="77777777" w:rsidR="00C50431" w:rsidRDefault="00C50431">
      <w:pPr>
        <w:ind w:left="0" w:firstLine="0"/>
        <w:rPr>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0"/>
        <w:gridCol w:w="5535"/>
      </w:tblGrid>
      <w:tr w:rsidR="00C50431" w14:paraId="374F88A1" w14:textId="77777777">
        <w:tc>
          <w:tcPr>
            <w:tcW w:w="1957" w:type="pct"/>
          </w:tcPr>
          <w:p w14:paraId="374F889C" w14:textId="77777777" w:rsidR="00C50431" w:rsidRDefault="00727C5F">
            <w:pPr>
              <w:spacing w:before="60" w:after="60"/>
            </w:pPr>
            <w:r>
              <w:t>Vanliga</w:t>
            </w:r>
          </w:p>
          <w:p w14:paraId="374F889D" w14:textId="77777777" w:rsidR="00C50431" w:rsidRDefault="00C50431">
            <w:pPr>
              <w:spacing w:before="60" w:after="60"/>
              <w:ind w:left="0" w:firstLine="0"/>
            </w:pPr>
          </w:p>
          <w:p w14:paraId="374F889E" w14:textId="77777777" w:rsidR="00C50431" w:rsidRDefault="00727C5F">
            <w:pPr>
              <w:spacing w:before="60" w:after="60"/>
            </w:pPr>
            <w:r>
              <w:t>(1 till 10 av 100 behandlade djur):</w:t>
            </w:r>
          </w:p>
        </w:tc>
        <w:tc>
          <w:tcPr>
            <w:tcW w:w="3043" w:type="pct"/>
            <w:hideMark/>
          </w:tcPr>
          <w:p w14:paraId="374F889F" w14:textId="77777777" w:rsidR="00C50431" w:rsidRDefault="00727C5F">
            <w:pPr>
              <w:spacing w:before="60" w:after="60"/>
              <w:ind w:left="0" w:firstLine="0"/>
              <w:rPr>
                <w:iCs/>
                <w:vertAlign w:val="superscript"/>
              </w:rPr>
            </w:pPr>
            <w:r>
              <w:rPr>
                <w:iCs/>
              </w:rPr>
              <w:t>Smärta vid injektionsstället</w:t>
            </w:r>
            <w:r>
              <w:rPr>
                <w:iCs/>
                <w:vertAlign w:val="superscript"/>
              </w:rPr>
              <w:t>1</w:t>
            </w:r>
          </w:p>
          <w:p w14:paraId="374F88A0" w14:textId="77777777" w:rsidR="00C50431" w:rsidRDefault="00727C5F">
            <w:pPr>
              <w:spacing w:before="60" w:after="60"/>
              <w:ind w:left="0" w:firstLine="0"/>
              <w:rPr>
                <w:iCs/>
              </w:rPr>
            </w:pPr>
            <w:r>
              <w:rPr>
                <w:iCs/>
              </w:rPr>
              <w:t>Gastrointestinala biverkningar</w:t>
            </w:r>
            <w:r>
              <w:rPr>
                <w:iCs/>
                <w:vertAlign w:val="superscript"/>
              </w:rPr>
              <w:t>2</w:t>
            </w:r>
            <w:r>
              <w:rPr>
                <w:iCs/>
              </w:rPr>
              <w:t>, diarré</w:t>
            </w:r>
            <w:r>
              <w:rPr>
                <w:iCs/>
                <w:vertAlign w:val="superscript"/>
              </w:rPr>
              <w:t>2</w:t>
            </w:r>
            <w:r>
              <w:rPr>
                <w:iCs/>
              </w:rPr>
              <w:t>, kräkningar</w:t>
            </w:r>
            <w:r>
              <w:rPr>
                <w:iCs/>
                <w:vertAlign w:val="superscript"/>
              </w:rPr>
              <w:t>2</w:t>
            </w:r>
          </w:p>
        </w:tc>
      </w:tr>
      <w:tr w:rsidR="00C50431" w14:paraId="374F88A7" w14:textId="77777777">
        <w:tc>
          <w:tcPr>
            <w:tcW w:w="1957" w:type="pct"/>
          </w:tcPr>
          <w:p w14:paraId="374F88A2" w14:textId="77777777" w:rsidR="00C50431" w:rsidRDefault="00727C5F">
            <w:pPr>
              <w:spacing w:before="60" w:after="60"/>
            </w:pPr>
            <w:r>
              <w:t>Mindre vanliga</w:t>
            </w:r>
          </w:p>
          <w:p w14:paraId="374F88A3" w14:textId="77777777" w:rsidR="00C50431" w:rsidRDefault="00C50431">
            <w:pPr>
              <w:spacing w:before="60" w:after="60"/>
              <w:ind w:left="0" w:firstLine="0"/>
            </w:pPr>
          </w:p>
          <w:p w14:paraId="374F88A4" w14:textId="77777777" w:rsidR="00C50431" w:rsidRDefault="00727C5F">
            <w:pPr>
              <w:spacing w:before="60" w:after="60"/>
            </w:pPr>
            <w:r>
              <w:t xml:space="preserve">(1 till 10 av 1 000 behandlade djur): </w:t>
            </w:r>
          </w:p>
        </w:tc>
        <w:tc>
          <w:tcPr>
            <w:tcW w:w="3043" w:type="pct"/>
          </w:tcPr>
          <w:p w14:paraId="374F88A5" w14:textId="77777777" w:rsidR="00C50431" w:rsidRDefault="00727C5F">
            <w:pPr>
              <w:spacing w:before="60" w:after="60"/>
              <w:ind w:left="0" w:firstLine="0"/>
              <w:rPr>
                <w:iCs/>
              </w:rPr>
            </w:pPr>
            <w:r>
              <w:rPr>
                <w:iCs/>
              </w:rPr>
              <w:lastRenderedPageBreak/>
              <w:t>Mörk avföring</w:t>
            </w:r>
          </w:p>
          <w:p w14:paraId="374F88A6" w14:textId="77777777" w:rsidR="00C50431" w:rsidRDefault="00727C5F">
            <w:pPr>
              <w:spacing w:before="60" w:after="60"/>
              <w:ind w:left="0" w:firstLine="0"/>
              <w:rPr>
                <w:iCs/>
              </w:rPr>
            </w:pPr>
            <w:r>
              <w:rPr>
                <w:iCs/>
              </w:rPr>
              <w:lastRenderedPageBreak/>
              <w:t>Minskad aptit</w:t>
            </w:r>
          </w:p>
        </w:tc>
      </w:tr>
    </w:tbl>
    <w:p w14:paraId="374F88A8" w14:textId="77777777" w:rsidR="00C50431" w:rsidRDefault="00727C5F">
      <w:pPr>
        <w:ind w:left="0" w:firstLine="0"/>
      </w:pPr>
      <w:r>
        <w:rPr>
          <w:vertAlign w:val="superscript"/>
        </w:rPr>
        <w:lastRenderedPageBreak/>
        <w:t>1</w:t>
      </w:r>
      <w:r>
        <w:t xml:space="preserve"> Måttlig eller svår smärta vid injektionsstället var mindre vanligt.</w:t>
      </w:r>
    </w:p>
    <w:p w14:paraId="374F88A9" w14:textId="77777777" w:rsidR="00C50431" w:rsidRDefault="00727C5F">
      <w:pPr>
        <w:ind w:left="0" w:firstLine="0"/>
      </w:pPr>
      <w:r>
        <w:rPr>
          <w:vertAlign w:val="superscript"/>
        </w:rPr>
        <w:t>2</w:t>
      </w:r>
      <w:r>
        <w:t xml:space="preserve"> De flesta fall var lindriga och avtog utan behandling.</w:t>
      </w:r>
    </w:p>
    <w:p w14:paraId="374F88AA" w14:textId="77777777" w:rsidR="00C50431" w:rsidRDefault="00C50431">
      <w:pPr>
        <w:spacing w:after="0" w:line="259" w:lineRule="auto"/>
        <w:ind w:left="34" w:firstLine="0"/>
      </w:pPr>
    </w:p>
    <w:p w14:paraId="374F88AB" w14:textId="77777777" w:rsidR="00C50431" w:rsidRDefault="00727C5F">
      <w:pPr>
        <w:ind w:left="29"/>
        <w:rPr>
          <w:color w:val="auto"/>
        </w:rPr>
      </w:pPr>
      <w:r>
        <w:t>Det är viktigt att rapportera biverkningar. Det möjliggör fortlöpande säkerhetsövervakning av ett läkemedel. Rapporter ska, företrädesvis via en veterinär, skickas till antingen innehavaren av godkännande för försäljning eller till den nationella behöriga myndigheten via det nationella rapporteringssystemet. Se bipacksedeln för respektive kontaktuppgifter.</w:t>
      </w:r>
    </w:p>
    <w:p w14:paraId="374F88AC" w14:textId="77777777" w:rsidR="00C50431" w:rsidRDefault="00C50431">
      <w:pPr>
        <w:spacing w:after="6" w:line="259" w:lineRule="auto"/>
        <w:ind w:left="34" w:firstLine="0"/>
      </w:pPr>
    </w:p>
    <w:p w14:paraId="374F88AD" w14:textId="77777777" w:rsidR="00C50431" w:rsidRDefault="00727C5F">
      <w:pPr>
        <w:pStyle w:val="Overskrift2"/>
        <w:tabs>
          <w:tab w:val="center" w:pos="3321"/>
        </w:tabs>
        <w:ind w:left="0" w:right="0" w:firstLine="0"/>
      </w:pPr>
      <w:r>
        <w:t>3.7</w:t>
      </w:r>
      <w:r>
        <w:tab/>
        <w:t>Användning under dräktighet, laktation eller äggläggning</w:t>
      </w:r>
    </w:p>
    <w:p w14:paraId="374F88AE" w14:textId="77777777" w:rsidR="00C50431" w:rsidRDefault="00C50431">
      <w:pPr>
        <w:spacing w:after="0" w:line="259" w:lineRule="auto"/>
        <w:ind w:left="34" w:firstLine="0"/>
      </w:pPr>
    </w:p>
    <w:p w14:paraId="374F88AF" w14:textId="77777777" w:rsidR="00C50431" w:rsidRDefault="00727C5F">
      <w:pPr>
        <w:ind w:left="29"/>
      </w:pPr>
      <w:r>
        <w:t>Säkerheten för detta läkemedel har inte fastställts under dräktighet och laktation.</w:t>
      </w:r>
    </w:p>
    <w:p w14:paraId="374F88B0" w14:textId="77777777" w:rsidR="00C50431" w:rsidRDefault="00727C5F">
      <w:pPr>
        <w:ind w:left="29"/>
      </w:pPr>
      <w:r>
        <w:t>Säkerheten för detta läkemedel har inte fastställts för katter och hundar som används för avel.</w:t>
      </w:r>
    </w:p>
    <w:p w14:paraId="374F88B1" w14:textId="77777777" w:rsidR="00C50431" w:rsidRDefault="00C50431">
      <w:pPr>
        <w:spacing w:after="0" w:line="259" w:lineRule="auto"/>
        <w:ind w:left="34" w:firstLine="0"/>
      </w:pPr>
    </w:p>
    <w:p w14:paraId="374F88B2" w14:textId="77777777" w:rsidR="00C50431" w:rsidRDefault="00727C5F">
      <w:pPr>
        <w:spacing w:after="5" w:line="252" w:lineRule="auto"/>
        <w:ind w:left="29"/>
      </w:pPr>
      <w:r>
        <w:rPr>
          <w:u w:val="single" w:color="000000"/>
        </w:rPr>
        <w:t>Dräktighet</w:t>
      </w:r>
      <w:r>
        <w:t xml:space="preserve"> </w:t>
      </w:r>
      <w:r>
        <w:rPr>
          <w:u w:val="single" w:color="000000"/>
        </w:rPr>
        <w:t>och laktation</w:t>
      </w:r>
      <w:r>
        <w:t>:</w:t>
      </w:r>
    </w:p>
    <w:p w14:paraId="374F88B3" w14:textId="77777777" w:rsidR="00C50431" w:rsidRDefault="00727C5F">
      <w:pPr>
        <w:spacing w:after="0" w:line="259" w:lineRule="auto"/>
        <w:ind w:left="34" w:firstLine="0"/>
      </w:pPr>
      <w:r>
        <w:t>Använd inte till dräktiga eller digivande djur.</w:t>
      </w:r>
    </w:p>
    <w:p w14:paraId="374F88B4" w14:textId="77777777" w:rsidR="00C50431" w:rsidRDefault="00C50431">
      <w:pPr>
        <w:spacing w:after="0" w:line="259" w:lineRule="auto"/>
        <w:ind w:left="34" w:firstLine="0"/>
      </w:pPr>
    </w:p>
    <w:p w14:paraId="374F88B5" w14:textId="77777777" w:rsidR="00C50431" w:rsidRDefault="00727C5F">
      <w:pPr>
        <w:spacing w:after="5" w:line="252" w:lineRule="auto"/>
        <w:ind w:left="29"/>
      </w:pPr>
      <w:r>
        <w:rPr>
          <w:u w:val="single" w:color="000000"/>
        </w:rPr>
        <w:t>Fertilitet:</w:t>
      </w:r>
    </w:p>
    <w:p w14:paraId="374F88B6" w14:textId="77777777" w:rsidR="00C50431" w:rsidRDefault="00727C5F">
      <w:pPr>
        <w:ind w:left="29"/>
      </w:pPr>
      <w:r>
        <w:t>Använd inte till avelsdjur.</w:t>
      </w:r>
    </w:p>
    <w:p w14:paraId="374F88B7" w14:textId="77777777" w:rsidR="00C50431" w:rsidRDefault="00C50431">
      <w:pPr>
        <w:spacing w:after="6" w:line="259" w:lineRule="auto"/>
        <w:ind w:left="34" w:firstLine="0"/>
      </w:pPr>
    </w:p>
    <w:p w14:paraId="374F88B8" w14:textId="77777777" w:rsidR="00C50431" w:rsidRDefault="00727C5F">
      <w:pPr>
        <w:pStyle w:val="Overskrift2"/>
        <w:tabs>
          <w:tab w:val="center" w:pos="3450"/>
        </w:tabs>
        <w:ind w:left="0" w:right="0" w:firstLine="0"/>
      </w:pPr>
      <w:r>
        <w:t>3.8</w:t>
      </w:r>
      <w:r>
        <w:tab/>
        <w:t>Interaktioner med andra läkemedel och övriga interaktioner</w:t>
      </w:r>
    </w:p>
    <w:p w14:paraId="374F88B9" w14:textId="77777777" w:rsidR="00C50431" w:rsidRDefault="00C50431">
      <w:pPr>
        <w:spacing w:after="0" w:line="259" w:lineRule="auto"/>
        <w:ind w:left="34" w:firstLine="0"/>
      </w:pPr>
    </w:p>
    <w:p w14:paraId="374F88BA" w14:textId="77777777" w:rsidR="00C50431" w:rsidRDefault="00727C5F">
      <w:pPr>
        <w:spacing w:after="6" w:line="259" w:lineRule="auto"/>
        <w:ind w:left="34" w:firstLine="0"/>
      </w:pPr>
      <w:r>
        <w:t xml:space="preserve">Detta läkemedel får inte administreras tillsammans med andra NSAID eller </w:t>
      </w:r>
      <w:proofErr w:type="spellStart"/>
      <w:r>
        <w:t>glukokortikosteroider</w:t>
      </w:r>
      <w:proofErr w:type="spellEnd"/>
      <w:r>
        <w:t>. Förbehandling med andra antiinflammatoriska läkemedel kan leda till ytterligare eller ökade biverkningar, och därför skall det vara en behandlingsfri period avseende sådana substanser på minst 24 timmar innan behandling med detta läkemedel påbörjas. Vad gäller den behandlingsfria perioden skall dock hänsyn tas till de farmakokinetiska egenskaperna hos de läkemedel som använts tidigare.</w:t>
      </w:r>
    </w:p>
    <w:p w14:paraId="374F88BB" w14:textId="77777777" w:rsidR="00C50431" w:rsidRDefault="00C50431">
      <w:pPr>
        <w:spacing w:after="6" w:line="259" w:lineRule="auto"/>
        <w:ind w:left="34" w:firstLine="0"/>
      </w:pPr>
    </w:p>
    <w:p w14:paraId="374F88BC" w14:textId="77777777" w:rsidR="00C50431" w:rsidRDefault="00727C5F">
      <w:pPr>
        <w:spacing w:after="6" w:line="259" w:lineRule="auto"/>
        <w:ind w:left="34" w:firstLine="0"/>
      </w:pPr>
      <w:r>
        <w:t xml:space="preserve">Samtidig behandling med läkemedel som påverkar det </w:t>
      </w:r>
      <w:proofErr w:type="spellStart"/>
      <w:r>
        <w:t>renala</w:t>
      </w:r>
      <w:proofErr w:type="spellEnd"/>
      <w:r>
        <w:t xml:space="preserve"> flödet, </w:t>
      </w:r>
      <w:proofErr w:type="gramStart"/>
      <w:r>
        <w:t>t.ex.</w:t>
      </w:r>
      <w:proofErr w:type="gramEnd"/>
      <w:r>
        <w:t xml:space="preserve"> diuretika eller ACE-hämmare, skall följas med kliniska kontroller. Hos friska katter och hundar, både sådana som behandlades eller inte behandlades med </w:t>
      </w:r>
      <w:proofErr w:type="spellStart"/>
      <w:r>
        <w:t>diuretikumet</w:t>
      </w:r>
      <w:proofErr w:type="spellEnd"/>
      <w:r>
        <w:t xml:space="preserve"> </w:t>
      </w:r>
      <w:proofErr w:type="spellStart"/>
      <w:r>
        <w:t>furosemid</w:t>
      </w:r>
      <w:proofErr w:type="spellEnd"/>
      <w:r>
        <w:t xml:space="preserve">, förknippades samtidig administrering av detta läkemedel med ACE-hämmaren </w:t>
      </w:r>
      <w:proofErr w:type="spellStart"/>
      <w:r>
        <w:t>benazepril</w:t>
      </w:r>
      <w:proofErr w:type="spellEnd"/>
      <w:r>
        <w:t xml:space="preserve"> i 7 dagar inte med några negativa effekter på aldosteronkoncentration i plasma (katter) eller urin (hundar), reninaktivitet i plasma eller </w:t>
      </w:r>
      <w:proofErr w:type="spellStart"/>
      <w:r>
        <w:t>glomerulär</w:t>
      </w:r>
      <w:proofErr w:type="spellEnd"/>
      <w:r>
        <w:t xml:space="preserve"> filtrationshastighet. Inga säkerhetsdata hos de avsedda djurarterna och inga allmänna effektdata finns för kombinationsbehandling med </w:t>
      </w:r>
      <w:proofErr w:type="spellStart"/>
      <w:r>
        <w:t>robenacoxib</w:t>
      </w:r>
      <w:proofErr w:type="spellEnd"/>
      <w:r>
        <w:t xml:space="preserve"> och </w:t>
      </w:r>
      <w:proofErr w:type="spellStart"/>
      <w:r>
        <w:t>benazepril</w:t>
      </w:r>
      <w:proofErr w:type="spellEnd"/>
      <w:r>
        <w:t>.</w:t>
      </w:r>
    </w:p>
    <w:p w14:paraId="374F88BD" w14:textId="77777777" w:rsidR="00C50431" w:rsidRDefault="00C50431">
      <w:pPr>
        <w:spacing w:after="6" w:line="259" w:lineRule="auto"/>
        <w:ind w:left="34" w:firstLine="0"/>
      </w:pPr>
    </w:p>
    <w:p w14:paraId="374F88BE" w14:textId="77777777" w:rsidR="00C50431" w:rsidRDefault="00727C5F">
      <w:pPr>
        <w:spacing w:after="6" w:line="259" w:lineRule="auto"/>
        <w:ind w:left="34" w:firstLine="0"/>
      </w:pPr>
      <w:r>
        <w:t xml:space="preserve">Då anestetika kan påverka den </w:t>
      </w:r>
      <w:proofErr w:type="spellStart"/>
      <w:r>
        <w:t>renala</w:t>
      </w:r>
      <w:proofErr w:type="spellEnd"/>
      <w:r>
        <w:t xml:space="preserve"> </w:t>
      </w:r>
      <w:proofErr w:type="spellStart"/>
      <w:r>
        <w:t>perfusionen</w:t>
      </w:r>
      <w:proofErr w:type="spellEnd"/>
      <w:r>
        <w:t xml:space="preserve"> bör insättande av parenteral vätsketerapi under operation övervägas, i syfte att minska njurkomplikationerna när NSAID används </w:t>
      </w:r>
      <w:proofErr w:type="spellStart"/>
      <w:r>
        <w:t>perioperativt</w:t>
      </w:r>
      <w:proofErr w:type="spellEnd"/>
      <w:r>
        <w:t xml:space="preserve">. Samtidig administrering av potentiellt njurtoxiska substanser skall undvikas, då det kan finnas ökad risk för </w:t>
      </w:r>
      <w:proofErr w:type="spellStart"/>
      <w:r>
        <w:t>renal</w:t>
      </w:r>
      <w:proofErr w:type="spellEnd"/>
      <w:r>
        <w:t xml:space="preserve"> toxicitet.</w:t>
      </w:r>
    </w:p>
    <w:p w14:paraId="374F88BF" w14:textId="77777777" w:rsidR="00C50431" w:rsidRDefault="00C50431">
      <w:pPr>
        <w:spacing w:after="6" w:line="259" w:lineRule="auto"/>
        <w:ind w:left="34" w:firstLine="0"/>
      </w:pPr>
    </w:p>
    <w:p w14:paraId="374F88C0" w14:textId="77777777" w:rsidR="00C50431" w:rsidRDefault="00727C5F">
      <w:pPr>
        <w:spacing w:after="6" w:line="259" w:lineRule="auto"/>
        <w:ind w:left="34" w:firstLine="0"/>
      </w:pPr>
      <w:r>
        <w:t xml:space="preserve">Samtidig användning av andra aktiva substanser med hög proteinbindningsgrad kan konkurrera med </w:t>
      </w:r>
      <w:proofErr w:type="spellStart"/>
      <w:r>
        <w:t>robenacoxib</w:t>
      </w:r>
      <w:proofErr w:type="spellEnd"/>
      <w:r>
        <w:t xml:space="preserve"> om bindningen och därigenom medföra toxiska effekter.</w:t>
      </w:r>
    </w:p>
    <w:p w14:paraId="374F88C1" w14:textId="77777777" w:rsidR="00C50431" w:rsidRDefault="00C50431">
      <w:pPr>
        <w:spacing w:after="6" w:line="259" w:lineRule="auto"/>
        <w:ind w:left="34" w:firstLine="0"/>
      </w:pPr>
    </w:p>
    <w:p w14:paraId="374F88C2" w14:textId="77777777" w:rsidR="00C50431" w:rsidRDefault="00727C5F">
      <w:pPr>
        <w:pStyle w:val="Overskrift2"/>
        <w:tabs>
          <w:tab w:val="center" w:pos="2263"/>
        </w:tabs>
        <w:ind w:left="0" w:right="0" w:firstLine="0"/>
      </w:pPr>
      <w:r>
        <w:t>3.9</w:t>
      </w:r>
      <w:r>
        <w:tab/>
        <w:t>Administreringsvägar och dosering</w:t>
      </w:r>
    </w:p>
    <w:p w14:paraId="374F88C3" w14:textId="77777777" w:rsidR="00C50431" w:rsidRDefault="00C50431">
      <w:pPr>
        <w:spacing w:after="0" w:line="259" w:lineRule="auto"/>
        <w:ind w:left="33" w:firstLine="0"/>
      </w:pPr>
    </w:p>
    <w:p w14:paraId="374F88C4" w14:textId="77777777" w:rsidR="00C50431" w:rsidRDefault="00727C5F">
      <w:pPr>
        <w:tabs>
          <w:tab w:val="left" w:pos="2527"/>
        </w:tabs>
        <w:spacing w:after="0" w:line="259" w:lineRule="auto"/>
        <w:ind w:left="33" w:firstLine="0"/>
      </w:pPr>
      <w:r>
        <w:t xml:space="preserve">Subkutan användning </w:t>
      </w:r>
      <w:r>
        <w:rPr>
          <w:b/>
          <w:bCs/>
        </w:rPr>
        <w:t>(</w:t>
      </w:r>
      <w:proofErr w:type="spellStart"/>
      <w:r>
        <w:rPr>
          <w:b/>
          <w:bCs/>
        </w:rPr>
        <w:t>s.c</w:t>
      </w:r>
      <w:proofErr w:type="spellEnd"/>
      <w:r>
        <w:rPr>
          <w:b/>
          <w:bCs/>
        </w:rPr>
        <w:t>.)</w:t>
      </w:r>
      <w:r>
        <w:t>.</w:t>
      </w:r>
    </w:p>
    <w:p w14:paraId="374F88C5" w14:textId="77777777" w:rsidR="00C50431" w:rsidRDefault="00C50431">
      <w:pPr>
        <w:spacing w:after="0" w:line="259" w:lineRule="auto"/>
        <w:ind w:left="33" w:firstLine="0"/>
      </w:pPr>
    </w:p>
    <w:p w14:paraId="374F88C6" w14:textId="77777777" w:rsidR="00C50431" w:rsidRDefault="00727C5F">
      <w:pPr>
        <w:spacing w:after="0" w:line="259" w:lineRule="auto"/>
        <w:ind w:left="34" w:firstLine="0"/>
      </w:pPr>
      <w:r>
        <w:t xml:space="preserve">Rekommenderad dos är 2 mg </w:t>
      </w:r>
      <w:proofErr w:type="spellStart"/>
      <w:r>
        <w:t>robenacoxib</w:t>
      </w:r>
      <w:proofErr w:type="spellEnd"/>
      <w:r>
        <w:t>/kg kroppsvikt (1 ml per 10 kg kroppsvikt)</w:t>
      </w:r>
    </w:p>
    <w:p w14:paraId="374F88C7" w14:textId="77777777" w:rsidR="00C50431" w:rsidRDefault="00727C5F">
      <w:pPr>
        <w:spacing w:after="0" w:line="259" w:lineRule="auto"/>
        <w:ind w:left="33" w:firstLine="0"/>
      </w:pPr>
      <w:r>
        <w:t>Administrera läkemedlet cirka 30 minuter före operation, exempelvis i samband med induktion av generell anestesi.</w:t>
      </w:r>
    </w:p>
    <w:p w14:paraId="374F88C8" w14:textId="77777777" w:rsidR="00C50431" w:rsidRDefault="00727C5F">
      <w:pPr>
        <w:spacing w:after="0" w:line="259" w:lineRule="auto"/>
        <w:ind w:left="33" w:firstLine="0"/>
      </w:pPr>
      <w:r>
        <w:lastRenderedPageBreak/>
        <w:t xml:space="preserve">Efter kirurgi på katter kan behandlingen som ges en gång per dag fortgå med samma dosering och vid samma tidpunkt varje dag i upp till 2 dagar. </w:t>
      </w:r>
    </w:p>
    <w:p w14:paraId="374F88C9" w14:textId="77777777" w:rsidR="00C50431" w:rsidRDefault="00727C5F">
      <w:pPr>
        <w:spacing w:after="0" w:line="259" w:lineRule="auto"/>
        <w:ind w:left="33" w:firstLine="0"/>
      </w:pPr>
      <w:r>
        <w:t>Efter mjukdelskirurgi på hundar kan behandlingen som ges en gång per dag fortgå med samma dosering och vid samma tidpunkt varje dag i upp till 2 dagar.</w:t>
      </w:r>
    </w:p>
    <w:p w14:paraId="374F88CA" w14:textId="77777777" w:rsidR="00C50431" w:rsidRDefault="00C50431">
      <w:pPr>
        <w:spacing w:after="0" w:line="259" w:lineRule="auto"/>
        <w:ind w:left="33" w:firstLine="0"/>
      </w:pPr>
    </w:p>
    <w:p w14:paraId="374F88CB" w14:textId="77777777" w:rsidR="00C50431" w:rsidRDefault="00727C5F">
      <w:pPr>
        <w:spacing w:after="0" w:line="259" w:lineRule="auto"/>
        <w:ind w:left="33" w:firstLine="0"/>
      </w:pPr>
      <w:r>
        <w:t xml:space="preserve">Byte mellan läkemedel innehållande </w:t>
      </w:r>
      <w:proofErr w:type="spellStart"/>
      <w:r>
        <w:t>robenacoxib</w:t>
      </w:r>
      <w:proofErr w:type="spellEnd"/>
      <w:r>
        <w:t xml:space="preserve"> i form av tabletter och injektionsvätska har testats i säkerhetsstudier på de avsedda djurarterna och har visat sig tolereras väl av katter och hundar.</w:t>
      </w:r>
    </w:p>
    <w:p w14:paraId="374F88CC" w14:textId="77777777" w:rsidR="00C50431" w:rsidRDefault="00C50431">
      <w:pPr>
        <w:spacing w:after="0" w:line="259" w:lineRule="auto"/>
        <w:ind w:left="33" w:firstLine="0"/>
      </w:pPr>
    </w:p>
    <w:p w14:paraId="374F88CD" w14:textId="77777777" w:rsidR="00C50431" w:rsidRDefault="00727C5F">
      <w:pPr>
        <w:ind w:left="29"/>
      </w:pPr>
      <w:r>
        <w:t xml:space="preserve">Läkemedlet innehåller </w:t>
      </w:r>
      <w:proofErr w:type="spellStart"/>
      <w:r>
        <w:t>robenacoxib</w:t>
      </w:r>
      <w:proofErr w:type="spellEnd"/>
      <w:r>
        <w:t xml:space="preserve"> i form av injektionsvätska eller tabletter är utbytbara i enlighet med indikationerna och de godkända bruksanvisningarna för de båda läkemedelsformerna. Behandlingen ska inte överstiga en dos (antingen tablett eller injektion) per dag. Notera att de rekommenderade doserna kan skilja sig mellan de två beredningsformerna.</w:t>
      </w:r>
    </w:p>
    <w:p w14:paraId="374F88CE" w14:textId="77777777" w:rsidR="00C50431" w:rsidRDefault="00C50431">
      <w:pPr>
        <w:ind w:left="29"/>
      </w:pPr>
    </w:p>
    <w:p w14:paraId="374F88CF" w14:textId="77777777" w:rsidR="00C50431" w:rsidRDefault="00727C5F">
      <w:pPr>
        <w:ind w:left="29"/>
      </w:pPr>
      <w:r>
        <w:t xml:space="preserve">Gummiproppen kan maximalt punkteras upp till 16 gånger. </w:t>
      </w:r>
    </w:p>
    <w:p w14:paraId="374F88D0" w14:textId="77777777" w:rsidR="00C50431" w:rsidRDefault="00C50431">
      <w:pPr>
        <w:spacing w:after="0" w:line="259" w:lineRule="auto"/>
      </w:pPr>
    </w:p>
    <w:p w14:paraId="374F88D1" w14:textId="77777777" w:rsidR="00C50431" w:rsidRDefault="00727C5F">
      <w:pPr>
        <w:pStyle w:val="Overskrift2"/>
        <w:tabs>
          <w:tab w:val="center" w:pos="2263"/>
        </w:tabs>
        <w:ind w:left="0" w:right="0" w:firstLine="0"/>
      </w:pPr>
      <w:r>
        <w:t xml:space="preserve">3.10 </w:t>
      </w:r>
      <w:r>
        <w:tab/>
        <w:t xml:space="preserve">Symtom på överdosering (och i tillämpliga fall akuta åtgärder och motgift) </w:t>
      </w:r>
    </w:p>
    <w:p w14:paraId="374F88D2" w14:textId="77777777" w:rsidR="00C50431" w:rsidRDefault="00C50431">
      <w:pPr>
        <w:spacing w:after="0" w:line="259" w:lineRule="auto"/>
        <w:ind w:left="34" w:firstLine="0"/>
      </w:pPr>
    </w:p>
    <w:p w14:paraId="374F88D3" w14:textId="77777777" w:rsidR="00C50431" w:rsidRDefault="00727C5F">
      <w:pPr>
        <w:spacing w:after="0" w:line="259" w:lineRule="auto"/>
        <w:ind w:left="34" w:firstLine="0"/>
      </w:pPr>
      <w:r>
        <w:t xml:space="preserve">Hos friska unga hundar på 6 månader medförde subkutant tillfört </w:t>
      </w:r>
      <w:proofErr w:type="spellStart"/>
      <w:r>
        <w:t>robenacoxib</w:t>
      </w:r>
      <w:proofErr w:type="spellEnd"/>
      <w:r>
        <w:t xml:space="preserve"> en gång per dag i doser på 2 mg/kg (rekommenderad terapeutisk dos; RTD), 6 mg/kg (3 gånger RTD) och 20 mg/kg (10 gånger RTD) vid 9 tillfällen under en 5 veckorsperiod (3 cykler om 3 dagar i följd med en injektion dagligen) inga tecken på toxicitet, inkluderande </w:t>
      </w:r>
      <w:proofErr w:type="spellStart"/>
      <w:r>
        <w:t>gastrointestinal</w:t>
      </w:r>
      <w:proofErr w:type="spellEnd"/>
      <w:r>
        <w:t xml:space="preserve"> toxicitet, njur- eller levertoxicitet och hade ingen effekt på blödningstid. Reversibel inflammation på injektionsstället noterades i alla grupper (inklusive kontroller) och var mera uttalad i de grupper som fått doserna 6 respektive 20 mg/kg.</w:t>
      </w:r>
    </w:p>
    <w:p w14:paraId="374F88D4" w14:textId="77777777" w:rsidR="00C50431" w:rsidRDefault="00C50431">
      <w:pPr>
        <w:spacing w:after="0" w:line="259" w:lineRule="auto"/>
        <w:ind w:left="34" w:firstLine="0"/>
      </w:pPr>
    </w:p>
    <w:p w14:paraId="374F88D5" w14:textId="77777777" w:rsidR="00C50431" w:rsidRDefault="00727C5F">
      <w:pPr>
        <w:spacing w:after="0" w:line="259" w:lineRule="auto"/>
        <w:ind w:left="34" w:firstLine="0"/>
      </w:pPr>
      <w:r>
        <w:t xml:space="preserve">Hos friska unga katter på 10 månader medförde subkutant tillfört </w:t>
      </w:r>
      <w:proofErr w:type="spellStart"/>
      <w:r>
        <w:t>robenacoxib</w:t>
      </w:r>
      <w:proofErr w:type="spellEnd"/>
      <w:r>
        <w:t xml:space="preserve"> en gång per dag i doser på 4 mg/kg (2 gånger RTD) 2 dagar i följd och 10 mg/kg (5 gånger RTD) 3 dagar i följd inga tecken på toxicitet, inkluderande </w:t>
      </w:r>
      <w:proofErr w:type="spellStart"/>
      <w:r>
        <w:t>gastrointestinal</w:t>
      </w:r>
      <w:proofErr w:type="spellEnd"/>
      <w:r>
        <w:t xml:space="preserve"> toxicitet, njur- eller levertoxicitet och hade ingen effekt på blödningstid. Reversibla, minimala reaktioner på injektionsstället noterades i båda doseringsgrupperna.</w:t>
      </w:r>
    </w:p>
    <w:p w14:paraId="374F88D6" w14:textId="77777777" w:rsidR="00C50431" w:rsidRDefault="00C50431">
      <w:pPr>
        <w:spacing w:after="0" w:line="259" w:lineRule="auto"/>
        <w:ind w:left="34" w:firstLine="0"/>
      </w:pPr>
    </w:p>
    <w:p w14:paraId="374F88D7" w14:textId="77777777" w:rsidR="00C50431" w:rsidRDefault="00727C5F">
      <w:pPr>
        <w:spacing w:after="0" w:line="259" w:lineRule="auto"/>
        <w:ind w:left="34" w:firstLine="0"/>
      </w:pPr>
      <w:r>
        <w:t xml:space="preserve">Byte mellan läkemedel innehållande </w:t>
      </w:r>
      <w:proofErr w:type="spellStart"/>
      <w:r>
        <w:t>robenacoxib</w:t>
      </w:r>
      <w:proofErr w:type="spellEnd"/>
      <w:r>
        <w:t xml:space="preserve"> i form av tabletter och injektionsvätska hos 4 månader gamla katter vid överdoser på upp till 3 gånger den högsta rekommenderade dosen (2,4 mg; 4,8 mg; 7,2 mg </w:t>
      </w:r>
      <w:proofErr w:type="spellStart"/>
      <w:r>
        <w:t>robenacoxib</w:t>
      </w:r>
      <w:proofErr w:type="spellEnd"/>
      <w:r>
        <w:t xml:space="preserve">/kg oralt och 2,0 mg; 4,0 mg och 6,0 mg </w:t>
      </w:r>
      <w:proofErr w:type="spellStart"/>
      <w:r>
        <w:t>robenacoxib</w:t>
      </w:r>
      <w:proofErr w:type="spellEnd"/>
      <w:r>
        <w:t xml:space="preserve">/kg subkutant) resulterade i dosberoende ökning av sporadiskt ödem vid injektionsstället och minimal till mild subakut/kronisk inflammation i subkutan vävnad. En dosberoende ökning i QT-intervallet, minskning i hjärtfrekvens och motsvarande ökning i andningsfrekvens observerades i laboratoriestudier. Inga betydande effekter på kroppsvikt, blödningstid eller tecken på </w:t>
      </w:r>
      <w:proofErr w:type="spellStart"/>
      <w:r>
        <w:t>gastrointestinal</w:t>
      </w:r>
      <w:proofErr w:type="spellEnd"/>
      <w:r>
        <w:t xml:space="preserve"> toxicitet, njur- eller levertoxicitet observerades.</w:t>
      </w:r>
    </w:p>
    <w:p w14:paraId="374F88D8" w14:textId="77777777" w:rsidR="00C50431" w:rsidRDefault="00C50431">
      <w:pPr>
        <w:spacing w:after="0" w:line="259" w:lineRule="auto"/>
        <w:ind w:left="34" w:firstLine="0"/>
      </w:pPr>
    </w:p>
    <w:p w14:paraId="374F88D9" w14:textId="77777777" w:rsidR="00C50431" w:rsidRDefault="00727C5F">
      <w:pPr>
        <w:spacing w:after="0" w:line="259" w:lineRule="auto"/>
        <w:ind w:left="34" w:firstLine="0"/>
      </w:pPr>
      <w:r>
        <w:t xml:space="preserve">I överdosstudier på katter sågs en dosberoende ökning av QT-intervallet. Den biologiska betydelsen av ökat QT-intervall, utanför de normala variationerna, som observerades efter överdos av </w:t>
      </w:r>
      <w:proofErr w:type="spellStart"/>
      <w:r>
        <w:t>robenacoxib</w:t>
      </w:r>
      <w:proofErr w:type="spellEnd"/>
      <w:r>
        <w:t xml:space="preserve"> är okänd. Inga förändringar i QT-intervall observerades efter en enkel, intravenöst administrerad, dos på 2 eller 4 mg </w:t>
      </w:r>
      <w:proofErr w:type="spellStart"/>
      <w:r>
        <w:t>robenacoxib</w:t>
      </w:r>
      <w:proofErr w:type="spellEnd"/>
      <w:r>
        <w:t xml:space="preserve"> per kg till friska katter under anestesi.</w:t>
      </w:r>
    </w:p>
    <w:p w14:paraId="374F88DA" w14:textId="77777777" w:rsidR="00C50431" w:rsidRDefault="00C50431">
      <w:pPr>
        <w:spacing w:after="0" w:line="259" w:lineRule="auto"/>
        <w:ind w:left="34" w:firstLine="0"/>
      </w:pPr>
    </w:p>
    <w:p w14:paraId="374F88DB" w14:textId="77777777" w:rsidR="00C50431" w:rsidRDefault="00727C5F">
      <w:pPr>
        <w:spacing w:after="0" w:line="259" w:lineRule="auto"/>
        <w:ind w:left="34" w:firstLine="0"/>
      </w:pPr>
      <w:r>
        <w:t xml:space="preserve">Byte mellan läkemedel innehållande </w:t>
      </w:r>
      <w:proofErr w:type="spellStart"/>
      <w:r>
        <w:t>robenacoxib</w:t>
      </w:r>
      <w:proofErr w:type="spellEnd"/>
      <w:r>
        <w:t xml:space="preserve"> i form av tabletter och injektionsvätska hos blandrashundar vid överdoser på upp till 3 gånger den högsta rekommenderade dosen (2,0; 4,0 och 6,0 plus 4,0; 8,0 och 12,0 mg </w:t>
      </w:r>
      <w:proofErr w:type="spellStart"/>
      <w:r>
        <w:t>robenacoxib</w:t>
      </w:r>
      <w:proofErr w:type="spellEnd"/>
      <w:r>
        <w:t xml:space="preserve">/kg oralt och 2,0 mg; 4,0 mg och 6,0 mg </w:t>
      </w:r>
      <w:proofErr w:type="spellStart"/>
      <w:r>
        <w:t>robenacoxib</w:t>
      </w:r>
      <w:proofErr w:type="spellEnd"/>
      <w:r>
        <w:t xml:space="preserve">/kg subkutant) resulterade i dosberoende ödem, </w:t>
      </w:r>
      <w:proofErr w:type="spellStart"/>
      <w:r>
        <w:t>erytem</w:t>
      </w:r>
      <w:proofErr w:type="spellEnd"/>
      <w:r>
        <w:t xml:space="preserve">, förtjockning av huden och sår vid det subkutana injektionsstället och inflammation, ansamling av blod och blödning i duodenum, </w:t>
      </w:r>
      <w:proofErr w:type="spellStart"/>
      <w:r>
        <w:t>jejunum</w:t>
      </w:r>
      <w:proofErr w:type="spellEnd"/>
      <w:r>
        <w:t xml:space="preserve"> och </w:t>
      </w:r>
      <w:proofErr w:type="spellStart"/>
      <w:r>
        <w:t>caecum</w:t>
      </w:r>
      <w:proofErr w:type="spellEnd"/>
      <w:r>
        <w:t>. Inga betydande effekter på kroppsvikt, blödningstid eller tecken på njur- eller levertoxicitet observerades.</w:t>
      </w:r>
    </w:p>
    <w:p w14:paraId="374F88DC" w14:textId="77777777" w:rsidR="00C50431" w:rsidRDefault="00C50431">
      <w:pPr>
        <w:spacing w:after="0" w:line="259" w:lineRule="auto"/>
        <w:ind w:left="34" w:firstLine="0"/>
      </w:pPr>
    </w:p>
    <w:p w14:paraId="374F88DD" w14:textId="77777777" w:rsidR="00C50431" w:rsidRDefault="00727C5F">
      <w:pPr>
        <w:spacing w:after="0" w:line="259" w:lineRule="auto"/>
        <w:ind w:left="34" w:firstLine="0"/>
      </w:pPr>
      <w:r>
        <w:lastRenderedPageBreak/>
        <w:t xml:space="preserve">Inga förändringar i blodtryck eller elektrokardiogram observerades efter en enkeldos på 2 mg/kg </w:t>
      </w:r>
      <w:proofErr w:type="spellStart"/>
      <w:r>
        <w:t>robenacoxib</w:t>
      </w:r>
      <w:proofErr w:type="spellEnd"/>
      <w:r>
        <w:t xml:space="preserve"> subkutant eller 2 eller 4 mg/kg intravenöst till friska hundar. Kräkningar förekom </w:t>
      </w:r>
      <w:proofErr w:type="gramStart"/>
      <w:r>
        <w:t>6-8</w:t>
      </w:r>
      <w:proofErr w:type="gramEnd"/>
      <w:r>
        <w:t xml:space="preserve"> timmar efter administrering hos 2 av 8 hundar som gavs 4 mg/kg injektionsvätska, lösning intravenöst.</w:t>
      </w:r>
    </w:p>
    <w:p w14:paraId="374F88DE" w14:textId="77777777" w:rsidR="00C50431" w:rsidRDefault="00C50431">
      <w:pPr>
        <w:spacing w:after="0" w:line="259" w:lineRule="auto"/>
        <w:ind w:left="34" w:firstLine="0"/>
      </w:pPr>
    </w:p>
    <w:p w14:paraId="374F88DF" w14:textId="77777777" w:rsidR="00C50431" w:rsidRDefault="00727C5F">
      <w:pPr>
        <w:spacing w:after="0" w:line="259" w:lineRule="auto"/>
        <w:ind w:left="34" w:firstLine="0"/>
      </w:pPr>
      <w:r>
        <w:t xml:space="preserve">Liksom för alla NSAID-medel kan överdosering orsaka </w:t>
      </w:r>
      <w:proofErr w:type="spellStart"/>
      <w:r>
        <w:t>gastrointestinal</w:t>
      </w:r>
      <w:proofErr w:type="spellEnd"/>
      <w:r>
        <w:t xml:space="preserve"> toxicitet, njur- eller levertoxicitet hos känsliga eller allmänt nedsatta djur. Det finns ingen specifik antidot. Symtomatisk, understödjande behandling rekommenderas, bestående i tillförsel av mag-/tarmskyddande medel och infusion av </w:t>
      </w:r>
      <w:proofErr w:type="spellStart"/>
      <w:r>
        <w:t>isoton</w:t>
      </w:r>
      <w:proofErr w:type="spellEnd"/>
      <w:r>
        <w:t xml:space="preserve"> koksaltlösning.</w:t>
      </w:r>
    </w:p>
    <w:p w14:paraId="374F88E0" w14:textId="77777777" w:rsidR="00C50431" w:rsidRDefault="00C50431">
      <w:pPr>
        <w:spacing w:after="0" w:line="259" w:lineRule="auto"/>
        <w:ind w:left="34" w:firstLine="0"/>
      </w:pPr>
    </w:p>
    <w:p w14:paraId="374F88E1" w14:textId="77777777" w:rsidR="00C50431" w:rsidRDefault="00727C5F">
      <w:pPr>
        <w:pStyle w:val="Overskrift2"/>
        <w:ind w:left="585" w:right="0" w:hanging="566"/>
      </w:pPr>
      <w:r>
        <w:t xml:space="preserve">3.11 Särskilda begränsningar för användning och särskilda villkor för användning, inklusive begränsningar av användningen av antimikrobiella och antiparasitära läkemedel för att begränsa risken för utveckling av resistens </w:t>
      </w:r>
    </w:p>
    <w:p w14:paraId="374F88E2" w14:textId="77777777" w:rsidR="00C50431" w:rsidRDefault="00C50431">
      <w:pPr>
        <w:spacing w:after="0" w:line="259" w:lineRule="auto"/>
        <w:ind w:left="34" w:firstLine="0"/>
      </w:pPr>
    </w:p>
    <w:p w14:paraId="374F88E3" w14:textId="77777777" w:rsidR="00C50431" w:rsidRDefault="00727C5F">
      <w:pPr>
        <w:ind w:left="29"/>
      </w:pPr>
      <w:r>
        <w:t>Ej relevant.</w:t>
      </w:r>
    </w:p>
    <w:p w14:paraId="374F88E4" w14:textId="77777777" w:rsidR="00C50431" w:rsidRDefault="00C50431">
      <w:pPr>
        <w:spacing w:after="0" w:line="259" w:lineRule="auto"/>
        <w:ind w:left="34" w:firstLine="0"/>
      </w:pPr>
    </w:p>
    <w:p w14:paraId="374F88E5" w14:textId="77777777" w:rsidR="00C50431" w:rsidRDefault="00727C5F">
      <w:pPr>
        <w:pStyle w:val="Overskrift2"/>
        <w:ind w:left="29" w:right="0"/>
      </w:pPr>
      <w:r>
        <w:t xml:space="preserve">3.12 Karenstider </w:t>
      </w:r>
    </w:p>
    <w:p w14:paraId="374F88E6" w14:textId="77777777" w:rsidR="00C50431" w:rsidRDefault="00C50431">
      <w:pPr>
        <w:spacing w:after="0" w:line="259" w:lineRule="auto"/>
        <w:ind w:left="34" w:firstLine="0"/>
      </w:pPr>
    </w:p>
    <w:p w14:paraId="374F88E7" w14:textId="77777777" w:rsidR="00C50431" w:rsidRDefault="00727C5F">
      <w:pPr>
        <w:ind w:left="29"/>
      </w:pPr>
      <w:r>
        <w:t xml:space="preserve">Ej relevant. </w:t>
      </w:r>
    </w:p>
    <w:p w14:paraId="374F88E8" w14:textId="77777777" w:rsidR="00C50431" w:rsidRDefault="00C50431">
      <w:pPr>
        <w:spacing w:after="0" w:line="259" w:lineRule="auto"/>
        <w:ind w:left="34" w:firstLine="0"/>
      </w:pPr>
    </w:p>
    <w:p w14:paraId="374F88E9" w14:textId="77777777" w:rsidR="00C50431" w:rsidRDefault="00C50431">
      <w:pPr>
        <w:spacing w:after="6" w:line="259" w:lineRule="auto"/>
        <w:ind w:left="34" w:firstLine="0"/>
      </w:pPr>
    </w:p>
    <w:p w14:paraId="374F88EA" w14:textId="77777777" w:rsidR="00C50431" w:rsidRDefault="00727C5F">
      <w:pPr>
        <w:pStyle w:val="Overskrift1"/>
      </w:pPr>
      <w:r>
        <w:t>4. FARMAKOLOGISKA UPPGIFTER</w:t>
      </w:r>
    </w:p>
    <w:p w14:paraId="374F88EB" w14:textId="77777777" w:rsidR="00C50431" w:rsidRDefault="00C50431">
      <w:pPr>
        <w:spacing w:after="6" w:line="259" w:lineRule="auto"/>
        <w:ind w:left="34" w:firstLine="0"/>
      </w:pPr>
    </w:p>
    <w:p w14:paraId="374F88EC" w14:textId="77777777" w:rsidR="00C50431" w:rsidRDefault="00727C5F">
      <w:pPr>
        <w:tabs>
          <w:tab w:val="center" w:pos="1224"/>
        </w:tabs>
        <w:spacing w:after="11"/>
        <w:ind w:left="0" w:firstLine="0"/>
      </w:pPr>
      <w:r>
        <w:rPr>
          <w:b/>
        </w:rPr>
        <w:t xml:space="preserve">4.1 </w:t>
      </w:r>
      <w:r>
        <w:rPr>
          <w:b/>
        </w:rPr>
        <w:tab/>
      </w:r>
      <w:proofErr w:type="spellStart"/>
      <w:r>
        <w:rPr>
          <w:b/>
        </w:rPr>
        <w:t>ATCvet</w:t>
      </w:r>
      <w:proofErr w:type="spellEnd"/>
      <w:r>
        <w:rPr>
          <w:b/>
        </w:rPr>
        <w:t xml:space="preserve">-kod: </w:t>
      </w:r>
      <w:r>
        <w:rPr>
          <w:bCs/>
        </w:rPr>
        <w:t>QM01AH91.</w:t>
      </w:r>
    </w:p>
    <w:p w14:paraId="374F88ED" w14:textId="77777777" w:rsidR="00C50431" w:rsidRDefault="00C50431">
      <w:pPr>
        <w:spacing w:after="0" w:line="259" w:lineRule="auto"/>
        <w:ind w:left="34" w:firstLine="0"/>
      </w:pPr>
    </w:p>
    <w:p w14:paraId="374F88EE" w14:textId="77777777" w:rsidR="00C50431" w:rsidRDefault="00727C5F">
      <w:pPr>
        <w:spacing w:after="11"/>
        <w:ind w:left="29"/>
        <w:rPr>
          <w:b/>
        </w:rPr>
      </w:pPr>
      <w:r>
        <w:rPr>
          <w:b/>
        </w:rPr>
        <w:t>4.2 Farmakodynamik</w:t>
      </w:r>
    </w:p>
    <w:p w14:paraId="374F88EF" w14:textId="77777777" w:rsidR="00C50431" w:rsidRDefault="00C50431">
      <w:pPr>
        <w:spacing w:after="11"/>
        <w:ind w:left="29"/>
        <w:rPr>
          <w:bCs/>
        </w:rPr>
      </w:pPr>
    </w:p>
    <w:p w14:paraId="374F88F0" w14:textId="77777777" w:rsidR="00C50431" w:rsidRDefault="00727C5F">
      <w:pPr>
        <w:spacing w:after="11"/>
        <w:ind w:left="29"/>
      </w:pPr>
      <w:proofErr w:type="spellStart"/>
      <w:r>
        <w:t>Robenacoxib</w:t>
      </w:r>
      <w:proofErr w:type="spellEnd"/>
      <w:r>
        <w:t xml:space="preserve"> är en icke-steroid antiinflammatorisk substans (NSAID), som tillhör klassen </w:t>
      </w:r>
      <w:proofErr w:type="spellStart"/>
      <w:r>
        <w:t>coxiber</w:t>
      </w:r>
      <w:proofErr w:type="spellEnd"/>
      <w:r>
        <w:t>. Det</w:t>
      </w:r>
    </w:p>
    <w:p w14:paraId="374F88F1" w14:textId="77777777" w:rsidR="00C50431" w:rsidRDefault="00727C5F">
      <w:pPr>
        <w:spacing w:after="11"/>
        <w:ind w:left="29"/>
      </w:pPr>
      <w:r>
        <w:t xml:space="preserve">är en potent och selektiv hämmare av enzymet cyklooxygenas-2 (COX-2). </w:t>
      </w:r>
      <w:proofErr w:type="spellStart"/>
      <w:r>
        <w:t>Cyklooxygenasenzymet</w:t>
      </w:r>
      <w:proofErr w:type="spellEnd"/>
      <w:r>
        <w:t xml:space="preserve"> (COX) finns i två former. COX-1 är enzymets grundform och har skyddande funktioner, </w:t>
      </w:r>
      <w:proofErr w:type="gramStart"/>
      <w:r>
        <w:t>t.ex.</w:t>
      </w:r>
      <w:proofErr w:type="gramEnd"/>
      <w:r>
        <w:t xml:space="preserve"> i </w:t>
      </w:r>
      <w:proofErr w:type="spellStart"/>
      <w:r>
        <w:t>mag</w:t>
      </w:r>
      <w:proofErr w:type="spellEnd"/>
      <w:r>
        <w:t xml:space="preserve">–tarmkanalen och njurarna. COX-2 är den </w:t>
      </w:r>
      <w:proofErr w:type="spellStart"/>
      <w:r>
        <w:t>inducerbara</w:t>
      </w:r>
      <w:proofErr w:type="spellEnd"/>
      <w:r>
        <w:t xml:space="preserve"> formen av enzymet och svarar för bildningen av </w:t>
      </w:r>
      <w:proofErr w:type="spellStart"/>
      <w:r>
        <w:t>mediatorer</w:t>
      </w:r>
      <w:proofErr w:type="spellEnd"/>
      <w:r>
        <w:t>, inklusive PGE2, som framkallar smärta, inflammation eller feber.</w:t>
      </w:r>
    </w:p>
    <w:p w14:paraId="374F88F2" w14:textId="77777777" w:rsidR="00C50431" w:rsidRDefault="00C50431">
      <w:pPr>
        <w:spacing w:after="11"/>
        <w:ind w:left="29"/>
      </w:pPr>
    </w:p>
    <w:p w14:paraId="374F88F3" w14:textId="77777777" w:rsidR="00C50431" w:rsidRDefault="00727C5F">
      <w:pPr>
        <w:spacing w:after="11"/>
        <w:ind w:left="29"/>
      </w:pPr>
      <w:r>
        <w:t xml:space="preserve">Hos katter var </w:t>
      </w:r>
      <w:proofErr w:type="spellStart"/>
      <w:r>
        <w:t>robenacoxib</w:t>
      </w:r>
      <w:proofErr w:type="spellEnd"/>
      <w:r>
        <w:t xml:space="preserve"> i en in vitro-helblodsanalys ungefär 500 gånger så selektivt för COX-2 (IC50 0,058 </w:t>
      </w:r>
      <w:proofErr w:type="spellStart"/>
      <w:r>
        <w:t>μM</w:t>
      </w:r>
      <w:proofErr w:type="spellEnd"/>
      <w:r>
        <w:t xml:space="preserve">) som för COX-1 (IC50 28,9 </w:t>
      </w:r>
      <w:proofErr w:type="spellStart"/>
      <w:r>
        <w:t>μM</w:t>
      </w:r>
      <w:proofErr w:type="spellEnd"/>
      <w:r>
        <w:t xml:space="preserve">). </w:t>
      </w:r>
      <w:r>
        <w:rPr>
          <w:i/>
          <w:iCs/>
        </w:rPr>
        <w:t xml:space="preserve">In </w:t>
      </w:r>
      <w:proofErr w:type="spellStart"/>
      <w:r>
        <w:rPr>
          <w:i/>
          <w:iCs/>
        </w:rPr>
        <w:t>vivo</w:t>
      </w:r>
      <w:proofErr w:type="spellEnd"/>
      <w:r>
        <w:t xml:space="preserve"> gav </w:t>
      </w:r>
      <w:proofErr w:type="spellStart"/>
      <w:r>
        <w:t>robenacoxib</w:t>
      </w:r>
      <w:proofErr w:type="spellEnd"/>
      <w:r>
        <w:t xml:space="preserve"> injektionsvätska, lösning en markant hämning av COX-2-aktiviteten men hade ingen effekt på COX-1-aktiviteten. I rekommenderad dosering (2 mg/kg) visades analgetiska, antiinflammatoriska och </w:t>
      </w:r>
      <w:proofErr w:type="spellStart"/>
      <w:r>
        <w:t>antipyretiska</w:t>
      </w:r>
      <w:proofErr w:type="spellEnd"/>
      <w:r>
        <w:t xml:space="preserve"> effekter i en inflammationsmodell, och i kliniska prövningar minskade </w:t>
      </w:r>
      <w:proofErr w:type="spellStart"/>
      <w:r>
        <w:t>robenacoxib</w:t>
      </w:r>
      <w:proofErr w:type="spellEnd"/>
      <w:r>
        <w:t xml:space="preserve"> smärta och inflammation hos katter som undergick ortopedisk kirurgi eller mjukdelskirurgi.</w:t>
      </w:r>
    </w:p>
    <w:p w14:paraId="374F88F4" w14:textId="77777777" w:rsidR="00C50431" w:rsidRDefault="00C50431">
      <w:pPr>
        <w:spacing w:after="11"/>
        <w:ind w:left="29"/>
      </w:pPr>
    </w:p>
    <w:p w14:paraId="374F88F5" w14:textId="77777777" w:rsidR="00C50431" w:rsidRDefault="00727C5F">
      <w:pPr>
        <w:spacing w:after="11"/>
        <w:ind w:left="29"/>
      </w:pPr>
      <w:r>
        <w:t xml:space="preserve">Hos hundar var </w:t>
      </w:r>
      <w:proofErr w:type="spellStart"/>
      <w:r>
        <w:t>robenacoxib</w:t>
      </w:r>
      <w:proofErr w:type="spellEnd"/>
      <w:r>
        <w:t xml:space="preserve"> in vitro ungefär 140 gånger så selektivt för COX-2 (IC50 0,04 </w:t>
      </w:r>
      <w:proofErr w:type="spellStart"/>
      <w:r>
        <w:t>μM</w:t>
      </w:r>
      <w:proofErr w:type="spellEnd"/>
      <w:r>
        <w:t xml:space="preserve">) som för COX-1 (IC50 7,9 </w:t>
      </w:r>
      <w:proofErr w:type="spellStart"/>
      <w:r>
        <w:t>μM</w:t>
      </w:r>
      <w:proofErr w:type="spellEnd"/>
      <w:r>
        <w:t xml:space="preserve">). </w:t>
      </w:r>
      <w:r>
        <w:rPr>
          <w:i/>
          <w:iCs/>
        </w:rPr>
        <w:t xml:space="preserve">In </w:t>
      </w:r>
      <w:proofErr w:type="spellStart"/>
      <w:r>
        <w:rPr>
          <w:i/>
          <w:iCs/>
        </w:rPr>
        <w:t>vivo</w:t>
      </w:r>
      <w:proofErr w:type="spellEnd"/>
      <w:r>
        <w:t xml:space="preserve"> gav </w:t>
      </w:r>
      <w:proofErr w:type="spellStart"/>
      <w:r>
        <w:t>robenacoxib</w:t>
      </w:r>
      <w:proofErr w:type="spellEnd"/>
      <w:r>
        <w:t xml:space="preserve"> injektionsvätska, lösning en markant hämning av COX-2-aktiviteten men hade ingen effekt på COX-1-aktiviteten. I doseringar på mellan 0,25 och 4 mg/kg hade </w:t>
      </w:r>
      <w:proofErr w:type="spellStart"/>
      <w:r>
        <w:t>robenacoxib</w:t>
      </w:r>
      <w:proofErr w:type="spellEnd"/>
      <w:r>
        <w:t xml:space="preserve"> analgetiska, antiinflammatoriska och </w:t>
      </w:r>
      <w:proofErr w:type="spellStart"/>
      <w:r>
        <w:t>antipyretiska</w:t>
      </w:r>
      <w:proofErr w:type="spellEnd"/>
      <w:r>
        <w:t xml:space="preserve"> effekter i en inflammationsmodell med snabbt insättande effekt (1 h). I kliniska prövningar, i rekommenderad dosering (2 mg/kg), minskade </w:t>
      </w:r>
      <w:proofErr w:type="spellStart"/>
      <w:r>
        <w:t>robenacoxib</w:t>
      </w:r>
      <w:proofErr w:type="spellEnd"/>
      <w:r>
        <w:t xml:space="preserve"> smärta och inflammation hos hundar som undergick ortopedisk kirurgi eller mjukdelskirurgi och minskade behovet av akutbehandling hos hundar som undergick mjukdelskirurgi.</w:t>
      </w:r>
    </w:p>
    <w:p w14:paraId="374F88F6" w14:textId="77777777" w:rsidR="00C50431" w:rsidRDefault="00C50431">
      <w:pPr>
        <w:spacing w:after="0" w:line="259" w:lineRule="auto"/>
        <w:ind w:left="34" w:firstLine="0"/>
      </w:pPr>
    </w:p>
    <w:p w14:paraId="374F88F7" w14:textId="77777777" w:rsidR="00C50431" w:rsidRDefault="00727C5F">
      <w:pPr>
        <w:spacing w:after="11"/>
        <w:ind w:left="29"/>
      </w:pPr>
      <w:r>
        <w:rPr>
          <w:b/>
        </w:rPr>
        <w:t>4.3 Farmakokinetik</w:t>
      </w:r>
    </w:p>
    <w:p w14:paraId="374F88F8" w14:textId="77777777" w:rsidR="00C50431" w:rsidRDefault="00C50431">
      <w:pPr>
        <w:spacing w:after="0" w:line="259" w:lineRule="auto"/>
        <w:ind w:left="34" w:firstLine="0"/>
      </w:pPr>
    </w:p>
    <w:p w14:paraId="374F88F9" w14:textId="77777777" w:rsidR="00C50431" w:rsidRDefault="00727C5F">
      <w:pPr>
        <w:spacing w:after="0" w:line="259" w:lineRule="auto"/>
        <w:ind w:left="34" w:firstLine="0"/>
      </w:pPr>
      <w:r>
        <w:t>Katt:</w:t>
      </w:r>
    </w:p>
    <w:p w14:paraId="374F88FA" w14:textId="77777777" w:rsidR="00C50431" w:rsidRDefault="00C50431">
      <w:pPr>
        <w:spacing w:after="0" w:line="259" w:lineRule="auto"/>
        <w:ind w:left="34" w:firstLine="0"/>
      </w:pPr>
    </w:p>
    <w:p w14:paraId="374F88FB" w14:textId="77777777" w:rsidR="00C50431" w:rsidRDefault="00727C5F">
      <w:pPr>
        <w:spacing w:after="0" w:line="259" w:lineRule="auto"/>
        <w:ind w:left="34" w:firstLine="0"/>
        <w:rPr>
          <w:u w:val="single"/>
        </w:rPr>
      </w:pPr>
      <w:r>
        <w:rPr>
          <w:u w:val="single"/>
        </w:rPr>
        <w:t>Absorption</w:t>
      </w:r>
    </w:p>
    <w:p w14:paraId="374F88FC" w14:textId="77777777" w:rsidR="00C50431" w:rsidRDefault="00727C5F">
      <w:pPr>
        <w:spacing w:after="0" w:line="259" w:lineRule="auto"/>
        <w:ind w:left="34" w:firstLine="0"/>
      </w:pPr>
      <w:r>
        <w:lastRenderedPageBreak/>
        <w:t xml:space="preserve">Maximal blodkoncentration för </w:t>
      </w:r>
      <w:proofErr w:type="spellStart"/>
      <w:r>
        <w:t>robenacoxib</w:t>
      </w:r>
      <w:proofErr w:type="spellEnd"/>
      <w:r>
        <w:t xml:space="preserve"> uppnås snabbt efter subkutan injektion. Efter en dosering av 2 mg/kg uppnås </w:t>
      </w:r>
      <w:proofErr w:type="spellStart"/>
      <w:r>
        <w:t>T</w:t>
      </w:r>
      <w:r>
        <w:rPr>
          <w:vertAlign w:val="subscript"/>
        </w:rPr>
        <w:t>max</w:t>
      </w:r>
      <w:proofErr w:type="spellEnd"/>
      <w:r>
        <w:t xml:space="preserve"> på 1 h, </w:t>
      </w:r>
      <w:proofErr w:type="spellStart"/>
      <w:r>
        <w:t>C</w:t>
      </w:r>
      <w:r>
        <w:rPr>
          <w:vertAlign w:val="subscript"/>
        </w:rPr>
        <w:t>max</w:t>
      </w:r>
      <w:proofErr w:type="spellEnd"/>
      <w:r>
        <w:t xml:space="preserve"> på 1 464 </w:t>
      </w:r>
      <w:proofErr w:type="spellStart"/>
      <w:r>
        <w:t>ng</w:t>
      </w:r>
      <w:proofErr w:type="spellEnd"/>
      <w:r>
        <w:t xml:space="preserve">/ml och AUC på 3 128 </w:t>
      </w:r>
      <w:proofErr w:type="spellStart"/>
      <w:r>
        <w:t>ng.h</w:t>
      </w:r>
      <w:proofErr w:type="spellEnd"/>
      <w:r>
        <w:t xml:space="preserve">/ml. Efter subkutan administrering av 1 mg/kg är den systemiska biotillgängligheten 69 %. </w:t>
      </w:r>
    </w:p>
    <w:p w14:paraId="374F88FD" w14:textId="77777777" w:rsidR="00C50431" w:rsidRDefault="00C50431">
      <w:pPr>
        <w:spacing w:after="0" w:line="259" w:lineRule="auto"/>
        <w:ind w:left="34" w:firstLine="0"/>
      </w:pPr>
    </w:p>
    <w:p w14:paraId="374F88FE" w14:textId="77777777" w:rsidR="00C50431" w:rsidRDefault="00727C5F">
      <w:pPr>
        <w:spacing w:after="0" w:line="259" w:lineRule="auto"/>
        <w:ind w:left="34" w:firstLine="0"/>
        <w:rPr>
          <w:u w:val="single"/>
        </w:rPr>
      </w:pPr>
      <w:r>
        <w:rPr>
          <w:u w:val="single"/>
        </w:rPr>
        <w:t>Distribution</w:t>
      </w:r>
    </w:p>
    <w:p w14:paraId="374F88FF" w14:textId="77777777" w:rsidR="00C50431" w:rsidRDefault="00727C5F">
      <w:pPr>
        <w:spacing w:after="0" w:line="259" w:lineRule="auto"/>
        <w:ind w:left="34" w:firstLine="0"/>
      </w:pPr>
      <w:proofErr w:type="spellStart"/>
      <w:r>
        <w:t>Robenacoxib</w:t>
      </w:r>
      <w:proofErr w:type="spellEnd"/>
      <w:r>
        <w:t xml:space="preserve"> har relativt liten distributionsvolym (</w:t>
      </w:r>
      <w:proofErr w:type="spellStart"/>
      <w:r>
        <w:t>Vss</w:t>
      </w:r>
      <w:proofErr w:type="spellEnd"/>
      <w:r>
        <w:t xml:space="preserve"> 190 ml/kg) och är i hög grad bundet till plasmaproteiner (&gt; 99 %).</w:t>
      </w:r>
    </w:p>
    <w:p w14:paraId="374F8900" w14:textId="77777777" w:rsidR="00C50431" w:rsidRDefault="00C50431">
      <w:pPr>
        <w:spacing w:after="0" w:line="259" w:lineRule="auto"/>
        <w:ind w:left="34" w:firstLine="0"/>
      </w:pPr>
    </w:p>
    <w:p w14:paraId="374F8901" w14:textId="77777777" w:rsidR="00C50431" w:rsidRDefault="00727C5F">
      <w:pPr>
        <w:spacing w:after="0" w:line="259" w:lineRule="auto"/>
        <w:ind w:left="34" w:firstLine="0"/>
        <w:rPr>
          <w:u w:val="single"/>
        </w:rPr>
      </w:pPr>
      <w:r>
        <w:rPr>
          <w:u w:val="single"/>
        </w:rPr>
        <w:t>Metabolism</w:t>
      </w:r>
    </w:p>
    <w:p w14:paraId="374F8902" w14:textId="77777777" w:rsidR="00C50431" w:rsidRDefault="00727C5F">
      <w:pPr>
        <w:spacing w:after="0" w:line="259" w:lineRule="auto"/>
        <w:ind w:left="34" w:firstLine="0"/>
      </w:pPr>
      <w:proofErr w:type="spellStart"/>
      <w:r>
        <w:t>Robenacoxib</w:t>
      </w:r>
      <w:proofErr w:type="spellEnd"/>
      <w:r>
        <w:t xml:space="preserve"> </w:t>
      </w:r>
      <w:proofErr w:type="spellStart"/>
      <w:r>
        <w:t>metaboliseras</w:t>
      </w:r>
      <w:proofErr w:type="spellEnd"/>
      <w:r>
        <w:t xml:space="preserve"> i stor utsträckning i levern. Frånsett en metabolit av </w:t>
      </w:r>
      <w:proofErr w:type="spellStart"/>
      <w:r>
        <w:t>laktam</w:t>
      </w:r>
      <w:proofErr w:type="spellEnd"/>
      <w:r>
        <w:t xml:space="preserve"> är inga andra metaboliter kända.</w:t>
      </w:r>
    </w:p>
    <w:p w14:paraId="374F8903" w14:textId="77777777" w:rsidR="00C50431" w:rsidRDefault="00C50431">
      <w:pPr>
        <w:spacing w:after="0" w:line="259" w:lineRule="auto"/>
        <w:ind w:left="34" w:firstLine="0"/>
      </w:pPr>
    </w:p>
    <w:p w14:paraId="374F8904" w14:textId="77777777" w:rsidR="00C50431" w:rsidRDefault="00727C5F">
      <w:pPr>
        <w:spacing w:after="0" w:line="259" w:lineRule="auto"/>
        <w:ind w:left="34" w:firstLine="0"/>
        <w:rPr>
          <w:u w:val="single"/>
        </w:rPr>
      </w:pPr>
      <w:r>
        <w:rPr>
          <w:u w:val="single"/>
        </w:rPr>
        <w:t>Eliminering</w:t>
      </w:r>
    </w:p>
    <w:p w14:paraId="374F8905" w14:textId="77777777" w:rsidR="00C50431" w:rsidRDefault="00727C5F">
      <w:pPr>
        <w:spacing w:after="0" w:line="259" w:lineRule="auto"/>
        <w:ind w:left="34" w:firstLine="0"/>
      </w:pPr>
      <w:r>
        <w:t xml:space="preserve">Efter intravenös administrering eliminerades </w:t>
      </w:r>
      <w:proofErr w:type="spellStart"/>
      <w:r>
        <w:t>robenacoxib</w:t>
      </w:r>
      <w:proofErr w:type="spellEnd"/>
      <w:r>
        <w:t xml:space="preserve"> snabbt från blodet (</w:t>
      </w:r>
      <w:proofErr w:type="spellStart"/>
      <w:r>
        <w:t>Cl</w:t>
      </w:r>
      <w:proofErr w:type="spellEnd"/>
      <w:r>
        <w:t xml:space="preserve"> 0,44 l/kg/h) med en eliminationshalveringstid (t½) på 1,1 h. Efter subkutan administrering var den terminala halveringstiden i blod 1,1 h.</w:t>
      </w:r>
    </w:p>
    <w:p w14:paraId="374F8906" w14:textId="77777777" w:rsidR="00C50431" w:rsidRDefault="00727C5F">
      <w:pPr>
        <w:spacing w:after="0" w:line="259" w:lineRule="auto"/>
        <w:ind w:left="34" w:firstLine="0"/>
      </w:pPr>
      <w:proofErr w:type="spellStart"/>
      <w:r>
        <w:t>Robenacoxib</w:t>
      </w:r>
      <w:proofErr w:type="spellEnd"/>
      <w:r>
        <w:t xml:space="preserve"> stannar kvar längre och i högre koncentrationer i inflammationshärdar än i blod.</w:t>
      </w:r>
    </w:p>
    <w:p w14:paraId="374F8907" w14:textId="77777777" w:rsidR="00C50431" w:rsidRDefault="00727C5F">
      <w:pPr>
        <w:spacing w:after="0" w:line="259" w:lineRule="auto"/>
        <w:ind w:left="34" w:firstLine="0"/>
      </w:pPr>
      <w:proofErr w:type="spellStart"/>
      <w:r>
        <w:t>Robenacoxib</w:t>
      </w:r>
      <w:proofErr w:type="spellEnd"/>
      <w:r>
        <w:t xml:space="preserve"> utsöndras till övervägande delen via gallan (</w:t>
      </w:r>
      <w:r>
        <w:rPr>
          <w:rFonts w:ascii="Cambria Math" w:hAnsi="Cambria Math" w:cs="Cambria Math"/>
        </w:rPr>
        <w:t>∼</w:t>
      </w:r>
      <w:r>
        <w:t xml:space="preserve">70 %) och återstoden via njurarna. Upprepad subkutan administrering i doseringar på 2–20 mg/kg medförde ingen förändring av blodprofilen, varken vad gäller bioackumulation av </w:t>
      </w:r>
      <w:proofErr w:type="spellStart"/>
      <w:r>
        <w:t>robenacoxib</w:t>
      </w:r>
      <w:proofErr w:type="spellEnd"/>
      <w:r>
        <w:t xml:space="preserve"> eller enzyminduktion. Bioackumulation av metaboliter har inte prövats. Farmakokinetiken för </w:t>
      </w:r>
      <w:proofErr w:type="spellStart"/>
      <w:r>
        <w:t>robenacoxib</w:t>
      </w:r>
      <w:proofErr w:type="spellEnd"/>
      <w:r>
        <w:t xml:space="preserve"> för injektion skiljer sig inte mellan han- och hondjur.</w:t>
      </w:r>
    </w:p>
    <w:p w14:paraId="374F8908" w14:textId="77777777" w:rsidR="00C50431" w:rsidRDefault="00C50431">
      <w:pPr>
        <w:spacing w:after="0" w:line="259" w:lineRule="auto"/>
        <w:ind w:left="34" w:firstLine="0"/>
      </w:pPr>
    </w:p>
    <w:p w14:paraId="374F8909" w14:textId="77777777" w:rsidR="00C50431" w:rsidRDefault="00727C5F">
      <w:pPr>
        <w:spacing w:after="0" w:line="259" w:lineRule="auto"/>
        <w:ind w:left="34" w:firstLine="0"/>
      </w:pPr>
      <w:r>
        <w:t>Hund:</w:t>
      </w:r>
    </w:p>
    <w:p w14:paraId="374F890A" w14:textId="77777777" w:rsidR="00C50431" w:rsidRDefault="00C50431">
      <w:pPr>
        <w:spacing w:after="0" w:line="259" w:lineRule="auto"/>
        <w:ind w:left="34" w:firstLine="0"/>
      </w:pPr>
    </w:p>
    <w:p w14:paraId="374F890B" w14:textId="77777777" w:rsidR="00C50431" w:rsidRDefault="00727C5F">
      <w:pPr>
        <w:spacing w:after="0" w:line="259" w:lineRule="auto"/>
        <w:ind w:left="34" w:firstLine="0"/>
        <w:rPr>
          <w:u w:val="single"/>
        </w:rPr>
      </w:pPr>
      <w:r>
        <w:rPr>
          <w:u w:val="single"/>
        </w:rPr>
        <w:t>Absorption</w:t>
      </w:r>
    </w:p>
    <w:p w14:paraId="374F890C" w14:textId="77777777" w:rsidR="00C50431" w:rsidRDefault="00727C5F">
      <w:pPr>
        <w:spacing w:after="0" w:line="259" w:lineRule="auto"/>
        <w:ind w:left="34" w:firstLine="0"/>
      </w:pPr>
      <w:r>
        <w:t xml:space="preserve">Maximal blodkoncentration för </w:t>
      </w:r>
      <w:proofErr w:type="spellStart"/>
      <w:r>
        <w:t>robenacoxib</w:t>
      </w:r>
      <w:proofErr w:type="spellEnd"/>
      <w:r>
        <w:t xml:space="preserve"> uppnås snabbt efter subkutan injektion. Efter en dosering av 2 mg/kg uppnås </w:t>
      </w:r>
      <w:proofErr w:type="spellStart"/>
      <w:r>
        <w:t>T</w:t>
      </w:r>
      <w:r>
        <w:rPr>
          <w:vertAlign w:val="subscript"/>
        </w:rPr>
        <w:t>max</w:t>
      </w:r>
      <w:proofErr w:type="spellEnd"/>
      <w:r>
        <w:t xml:space="preserve"> på 1 h, </w:t>
      </w:r>
      <w:proofErr w:type="spellStart"/>
      <w:r>
        <w:t>C</w:t>
      </w:r>
      <w:r>
        <w:rPr>
          <w:vertAlign w:val="subscript"/>
        </w:rPr>
        <w:t>max</w:t>
      </w:r>
      <w:proofErr w:type="spellEnd"/>
      <w:r>
        <w:t xml:space="preserve"> på 615 </w:t>
      </w:r>
      <w:proofErr w:type="spellStart"/>
      <w:r>
        <w:t>ng</w:t>
      </w:r>
      <w:proofErr w:type="spellEnd"/>
      <w:r>
        <w:t xml:space="preserve">/ml och AUC på 2 180 </w:t>
      </w:r>
      <w:proofErr w:type="spellStart"/>
      <w:r>
        <w:t>ng.h</w:t>
      </w:r>
      <w:proofErr w:type="spellEnd"/>
      <w:r>
        <w:t>/ml. Efter subkutan administrering av 1 mg/kg är den systemiska biotillgängligheten 88 %.</w:t>
      </w:r>
    </w:p>
    <w:p w14:paraId="374F890D" w14:textId="77777777" w:rsidR="00C50431" w:rsidRDefault="00C50431">
      <w:pPr>
        <w:spacing w:after="0" w:line="259" w:lineRule="auto"/>
        <w:ind w:left="34" w:firstLine="0"/>
      </w:pPr>
    </w:p>
    <w:p w14:paraId="374F890E" w14:textId="77777777" w:rsidR="00C50431" w:rsidRDefault="00727C5F">
      <w:pPr>
        <w:spacing w:after="0" w:line="259" w:lineRule="auto"/>
        <w:ind w:left="34" w:firstLine="0"/>
        <w:rPr>
          <w:u w:val="single"/>
        </w:rPr>
      </w:pPr>
      <w:r>
        <w:rPr>
          <w:u w:val="single"/>
        </w:rPr>
        <w:t>Distribution</w:t>
      </w:r>
    </w:p>
    <w:p w14:paraId="374F890F" w14:textId="77777777" w:rsidR="00C50431" w:rsidRDefault="00727C5F">
      <w:pPr>
        <w:spacing w:after="0" w:line="259" w:lineRule="auto"/>
        <w:ind w:left="34" w:firstLine="0"/>
      </w:pPr>
      <w:proofErr w:type="spellStart"/>
      <w:r>
        <w:t>Robenacoxib</w:t>
      </w:r>
      <w:proofErr w:type="spellEnd"/>
      <w:r>
        <w:t xml:space="preserve"> har relativt liten distributionsvolym (</w:t>
      </w:r>
      <w:proofErr w:type="spellStart"/>
      <w:r>
        <w:t>Vss</w:t>
      </w:r>
      <w:proofErr w:type="spellEnd"/>
      <w:r>
        <w:t xml:space="preserve"> 240 ml/kg) och är i hög grad bundet till plasmaproteiner (&gt; 99 %).</w:t>
      </w:r>
    </w:p>
    <w:p w14:paraId="374F8910" w14:textId="77777777" w:rsidR="00C50431" w:rsidRDefault="00C50431">
      <w:pPr>
        <w:spacing w:after="0" w:line="259" w:lineRule="auto"/>
        <w:ind w:left="34" w:firstLine="0"/>
      </w:pPr>
    </w:p>
    <w:p w14:paraId="374F8911" w14:textId="77777777" w:rsidR="00C50431" w:rsidRDefault="00727C5F">
      <w:pPr>
        <w:spacing w:after="0" w:line="259" w:lineRule="auto"/>
        <w:ind w:left="34" w:firstLine="0"/>
        <w:rPr>
          <w:u w:val="single"/>
        </w:rPr>
      </w:pPr>
      <w:r>
        <w:rPr>
          <w:u w:val="single"/>
        </w:rPr>
        <w:t>Metabolism</w:t>
      </w:r>
    </w:p>
    <w:p w14:paraId="374F8912" w14:textId="77777777" w:rsidR="00C50431" w:rsidRDefault="00727C5F">
      <w:pPr>
        <w:spacing w:after="0" w:line="259" w:lineRule="auto"/>
        <w:ind w:left="34" w:firstLine="0"/>
      </w:pPr>
      <w:proofErr w:type="spellStart"/>
      <w:r>
        <w:t>Robenacoxib</w:t>
      </w:r>
      <w:proofErr w:type="spellEnd"/>
      <w:r>
        <w:t xml:space="preserve"> </w:t>
      </w:r>
      <w:proofErr w:type="spellStart"/>
      <w:r>
        <w:t>metaboliseras</w:t>
      </w:r>
      <w:proofErr w:type="spellEnd"/>
      <w:r>
        <w:t xml:space="preserve"> i stor utsträckning i levern. Frånsett en metabolit av </w:t>
      </w:r>
      <w:proofErr w:type="spellStart"/>
      <w:r>
        <w:t>laktam</w:t>
      </w:r>
      <w:proofErr w:type="spellEnd"/>
      <w:r>
        <w:t xml:space="preserve"> är inga andra metaboliter kända.</w:t>
      </w:r>
    </w:p>
    <w:p w14:paraId="374F8913" w14:textId="77777777" w:rsidR="00C50431" w:rsidRDefault="00C50431">
      <w:pPr>
        <w:spacing w:after="0" w:line="259" w:lineRule="auto"/>
        <w:ind w:left="34" w:firstLine="0"/>
      </w:pPr>
    </w:p>
    <w:p w14:paraId="374F8914" w14:textId="77777777" w:rsidR="00C50431" w:rsidRDefault="00727C5F">
      <w:pPr>
        <w:spacing w:after="0" w:line="259" w:lineRule="auto"/>
        <w:ind w:left="34" w:firstLine="0"/>
        <w:rPr>
          <w:u w:val="single"/>
        </w:rPr>
      </w:pPr>
      <w:r>
        <w:rPr>
          <w:u w:val="single"/>
        </w:rPr>
        <w:t>Eliminering</w:t>
      </w:r>
    </w:p>
    <w:p w14:paraId="374F8915" w14:textId="77777777" w:rsidR="00C50431" w:rsidRDefault="00727C5F">
      <w:pPr>
        <w:spacing w:after="0" w:line="259" w:lineRule="auto"/>
        <w:ind w:left="34" w:firstLine="0"/>
      </w:pPr>
      <w:r>
        <w:t xml:space="preserve">Efter intravenös administrering eliminerades </w:t>
      </w:r>
      <w:proofErr w:type="spellStart"/>
      <w:r>
        <w:t>robenacoxib</w:t>
      </w:r>
      <w:proofErr w:type="spellEnd"/>
      <w:r>
        <w:t xml:space="preserve"> snabbt från blodet (</w:t>
      </w:r>
      <w:proofErr w:type="spellStart"/>
      <w:r>
        <w:t>Cl</w:t>
      </w:r>
      <w:proofErr w:type="spellEnd"/>
      <w:r>
        <w:t xml:space="preserve"> 0,81 l/kg/h) med en eliminationshalveringstid (t½) 0,8 h. Efter subkutan administrering var den terminala halveringstiden i blod 1,2 h.</w:t>
      </w:r>
    </w:p>
    <w:p w14:paraId="374F8916" w14:textId="77777777" w:rsidR="00C50431" w:rsidRDefault="00727C5F">
      <w:pPr>
        <w:spacing w:after="0" w:line="259" w:lineRule="auto"/>
        <w:ind w:left="34" w:firstLine="0"/>
      </w:pPr>
      <w:proofErr w:type="spellStart"/>
      <w:r>
        <w:t>Robenacoxib</w:t>
      </w:r>
      <w:proofErr w:type="spellEnd"/>
      <w:r>
        <w:t xml:space="preserve"> stannar kvar längre och i högre koncentrationer i inflammationshärdar än i blod.</w:t>
      </w:r>
    </w:p>
    <w:p w14:paraId="374F8917" w14:textId="77777777" w:rsidR="00C50431" w:rsidRDefault="00727C5F">
      <w:pPr>
        <w:spacing w:after="0" w:line="259" w:lineRule="auto"/>
        <w:ind w:left="34" w:firstLine="0"/>
      </w:pPr>
      <w:proofErr w:type="spellStart"/>
      <w:r>
        <w:t>Robenacoxib</w:t>
      </w:r>
      <w:proofErr w:type="spellEnd"/>
      <w:r>
        <w:t xml:space="preserve"> utsöndras till övervägande delen via gallan (</w:t>
      </w:r>
      <w:r>
        <w:rPr>
          <w:rFonts w:ascii="Cambria Math" w:hAnsi="Cambria Math" w:cs="Cambria Math"/>
        </w:rPr>
        <w:t>∼</w:t>
      </w:r>
      <w:r>
        <w:t xml:space="preserve">65 %) och återstoden via njurarna. Upprepad subkutan administrering i doseringar på 2–20 mg/kg medförde ingen förändring av blodprofilen, varken vad gäller bioackumulation av </w:t>
      </w:r>
      <w:proofErr w:type="spellStart"/>
      <w:r>
        <w:t>robenacoxib</w:t>
      </w:r>
      <w:proofErr w:type="spellEnd"/>
      <w:r>
        <w:t xml:space="preserve"> eller enzyminduktion. Bioackumulation av metaboliter har inte prövats. Farmakokinetiken för </w:t>
      </w:r>
      <w:proofErr w:type="spellStart"/>
      <w:r>
        <w:t>robenacoxib</w:t>
      </w:r>
      <w:proofErr w:type="spellEnd"/>
      <w:r>
        <w:t xml:space="preserve"> för injektion skiljer sig inte mellan han- och hondjur, och den är linjär inom dosområdet 0,25–4 mg/kg.</w:t>
      </w:r>
    </w:p>
    <w:p w14:paraId="374F8918" w14:textId="77777777" w:rsidR="00C50431" w:rsidRDefault="00C50431">
      <w:pPr>
        <w:spacing w:after="0" w:line="259" w:lineRule="auto"/>
        <w:ind w:left="34" w:firstLine="0"/>
      </w:pPr>
    </w:p>
    <w:p w14:paraId="374F8919" w14:textId="77777777" w:rsidR="00C50431" w:rsidRDefault="00C50431">
      <w:pPr>
        <w:spacing w:after="6" w:line="259" w:lineRule="auto"/>
        <w:ind w:left="34" w:firstLine="0"/>
      </w:pPr>
    </w:p>
    <w:p w14:paraId="374F891A" w14:textId="77777777" w:rsidR="00C50431" w:rsidRDefault="00727C5F">
      <w:pPr>
        <w:pStyle w:val="Overskrift1"/>
        <w:tabs>
          <w:tab w:val="center" w:pos="2248"/>
        </w:tabs>
        <w:ind w:left="0" w:right="0" w:firstLine="0"/>
      </w:pPr>
      <w:r>
        <w:t>5.</w:t>
      </w:r>
      <w:r>
        <w:tab/>
        <w:t xml:space="preserve">FARMACEUTISKA UPPGIFTER </w:t>
      </w:r>
    </w:p>
    <w:p w14:paraId="374F891B" w14:textId="77777777" w:rsidR="00C50431" w:rsidRDefault="00C50431">
      <w:pPr>
        <w:spacing w:after="6" w:line="259" w:lineRule="auto"/>
        <w:ind w:left="34" w:firstLine="0"/>
      </w:pPr>
    </w:p>
    <w:p w14:paraId="374F891C" w14:textId="77777777" w:rsidR="00C50431" w:rsidRDefault="00727C5F">
      <w:pPr>
        <w:pStyle w:val="Overskrift2"/>
        <w:tabs>
          <w:tab w:val="center" w:pos="1832"/>
        </w:tabs>
        <w:ind w:left="0" w:right="0" w:firstLine="0"/>
      </w:pPr>
      <w:r>
        <w:lastRenderedPageBreak/>
        <w:t>5.1</w:t>
      </w:r>
      <w:r>
        <w:tab/>
        <w:t xml:space="preserve">Viktiga </w:t>
      </w:r>
      <w:proofErr w:type="spellStart"/>
      <w:r>
        <w:t>inkompatibiliteter</w:t>
      </w:r>
      <w:proofErr w:type="spellEnd"/>
      <w:r>
        <w:t xml:space="preserve"> </w:t>
      </w:r>
    </w:p>
    <w:p w14:paraId="374F891D" w14:textId="77777777" w:rsidR="00C50431" w:rsidRDefault="00C50431">
      <w:pPr>
        <w:spacing w:after="0" w:line="259" w:lineRule="auto"/>
        <w:ind w:left="34" w:firstLine="0"/>
      </w:pPr>
    </w:p>
    <w:p w14:paraId="374F891E" w14:textId="77777777" w:rsidR="00C50431" w:rsidRDefault="00727C5F">
      <w:pPr>
        <w:ind w:left="29" w:right="452"/>
      </w:pPr>
      <w:r>
        <w:t>Då blandbarhetsstudier saknas ska detta läkemedel inte blandas med andra läkemedel.</w:t>
      </w:r>
    </w:p>
    <w:p w14:paraId="374F891F" w14:textId="77777777" w:rsidR="00C50431" w:rsidRDefault="00C50431">
      <w:pPr>
        <w:spacing w:after="6" w:line="259" w:lineRule="auto"/>
        <w:ind w:left="34" w:firstLine="0"/>
      </w:pPr>
    </w:p>
    <w:p w14:paraId="374F8920" w14:textId="77777777" w:rsidR="00C50431" w:rsidRDefault="00727C5F">
      <w:pPr>
        <w:pStyle w:val="Overskrift2"/>
        <w:tabs>
          <w:tab w:val="center" w:pos="1115"/>
        </w:tabs>
        <w:ind w:left="0" w:right="0" w:firstLine="0"/>
      </w:pPr>
      <w:r>
        <w:t>5.2</w:t>
      </w:r>
      <w:r>
        <w:tab/>
        <w:t xml:space="preserve">Hållbarhet </w:t>
      </w:r>
    </w:p>
    <w:p w14:paraId="374F8921" w14:textId="77777777" w:rsidR="00C50431" w:rsidRDefault="00C50431">
      <w:pPr>
        <w:spacing w:after="0" w:line="259" w:lineRule="auto"/>
        <w:ind w:left="34" w:firstLine="0"/>
      </w:pPr>
    </w:p>
    <w:p w14:paraId="374F8922" w14:textId="77777777" w:rsidR="00C50431" w:rsidRDefault="00727C5F">
      <w:pPr>
        <w:ind w:left="29"/>
      </w:pPr>
      <w:r>
        <w:t>Hållbarhet i oöppnad förpackning: 2 år.</w:t>
      </w:r>
    </w:p>
    <w:p w14:paraId="374F8923" w14:textId="77777777" w:rsidR="00C50431" w:rsidRDefault="00727C5F">
      <w:pPr>
        <w:ind w:left="29"/>
      </w:pPr>
      <w:r>
        <w:t xml:space="preserve">Hållbarhet i öppnad innerförpackning: 28 dagar. </w:t>
      </w:r>
    </w:p>
    <w:p w14:paraId="374F8924" w14:textId="77777777" w:rsidR="00C50431" w:rsidRDefault="00C50431">
      <w:pPr>
        <w:spacing w:after="6" w:line="259" w:lineRule="auto"/>
        <w:ind w:left="34" w:firstLine="0"/>
      </w:pPr>
    </w:p>
    <w:p w14:paraId="374F8925" w14:textId="77777777" w:rsidR="00C50431" w:rsidRDefault="00727C5F">
      <w:pPr>
        <w:pStyle w:val="Overskrift2"/>
        <w:tabs>
          <w:tab w:val="center" w:pos="2120"/>
        </w:tabs>
        <w:ind w:left="0" w:right="0" w:firstLine="0"/>
      </w:pPr>
      <w:r>
        <w:t>5.3</w:t>
      </w:r>
      <w:r>
        <w:tab/>
        <w:t xml:space="preserve">Särskilda förvaringsanvisningar </w:t>
      </w:r>
    </w:p>
    <w:p w14:paraId="374F8926" w14:textId="77777777" w:rsidR="00C50431" w:rsidRDefault="00C50431">
      <w:pPr>
        <w:spacing w:after="0" w:line="259" w:lineRule="auto"/>
        <w:ind w:left="34" w:firstLine="0"/>
      </w:pPr>
    </w:p>
    <w:p w14:paraId="374F8927" w14:textId="77777777" w:rsidR="00C50431" w:rsidRDefault="00727C5F">
      <w:pPr>
        <w:spacing w:line="240" w:lineRule="auto"/>
      </w:pPr>
      <w:r>
        <w:t>Förvaras i kylskåp (2 °C–8 °C).</w:t>
      </w:r>
    </w:p>
    <w:p w14:paraId="374F8928" w14:textId="77777777" w:rsidR="00C50431" w:rsidRDefault="00727C5F">
      <w:pPr>
        <w:spacing w:line="240" w:lineRule="auto"/>
      </w:pPr>
      <w:r>
        <w:t>Efter första brytningen av injektionsflaskan förvaras under 25 °C.</w:t>
      </w:r>
    </w:p>
    <w:p w14:paraId="374F8929" w14:textId="77777777" w:rsidR="00C50431" w:rsidRDefault="00727C5F">
      <w:pPr>
        <w:ind w:left="29"/>
      </w:pPr>
      <w:r>
        <w:t>Förvaras i originalförpackningen. Ljuskänsligt.</w:t>
      </w:r>
    </w:p>
    <w:p w14:paraId="374F892A" w14:textId="77777777" w:rsidR="00C50431" w:rsidRDefault="00C50431">
      <w:pPr>
        <w:spacing w:after="0" w:line="259" w:lineRule="auto"/>
      </w:pPr>
    </w:p>
    <w:p w14:paraId="374F892B" w14:textId="77777777" w:rsidR="00C50431" w:rsidRDefault="00727C5F">
      <w:pPr>
        <w:tabs>
          <w:tab w:val="center" w:pos="2893"/>
        </w:tabs>
        <w:spacing w:after="11"/>
        <w:ind w:left="0" w:firstLine="0"/>
      </w:pPr>
      <w:r>
        <w:rPr>
          <w:b/>
        </w:rPr>
        <w:t>5.4</w:t>
      </w:r>
      <w:r>
        <w:rPr>
          <w:b/>
        </w:rPr>
        <w:tab/>
        <w:t xml:space="preserve">Inre förpackning (förpackningstyp och material) </w:t>
      </w:r>
    </w:p>
    <w:p w14:paraId="374F892C" w14:textId="77777777" w:rsidR="00C50431" w:rsidRDefault="00C50431">
      <w:pPr>
        <w:spacing w:after="0" w:line="259" w:lineRule="auto"/>
        <w:ind w:left="34" w:firstLine="0"/>
      </w:pPr>
    </w:p>
    <w:p w14:paraId="374F892D" w14:textId="77777777" w:rsidR="00C50431" w:rsidRDefault="00727C5F">
      <w:pPr>
        <w:ind w:left="29"/>
      </w:pPr>
      <w:r>
        <w:t>Pappkartong innehållande en 20 ml injektionsflaska av bärnstensfärgat typ I-glas, försluten med en typ I-brombutylgummipropp och aluminiumförsegling med en plastflik som kan dras av.</w:t>
      </w:r>
    </w:p>
    <w:p w14:paraId="374F892E" w14:textId="77777777" w:rsidR="00C50431" w:rsidRDefault="00C50431">
      <w:pPr>
        <w:spacing w:after="6" w:line="259" w:lineRule="auto"/>
        <w:ind w:left="34" w:firstLine="0"/>
      </w:pPr>
    </w:p>
    <w:p w14:paraId="374F892F" w14:textId="77777777" w:rsidR="00C50431" w:rsidRDefault="00727C5F">
      <w:pPr>
        <w:pStyle w:val="Overskrift2"/>
        <w:ind w:left="585" w:right="0" w:hanging="566"/>
      </w:pPr>
      <w:r>
        <w:t>5.5</w:t>
      </w:r>
      <w:r>
        <w:tab/>
        <w:t xml:space="preserve">Särskilda försiktighetsåtgärder för destruktion av ej använt läkemedel eller avfall efter användningen </w:t>
      </w:r>
    </w:p>
    <w:p w14:paraId="374F8930" w14:textId="77777777" w:rsidR="00C50431" w:rsidRDefault="00C50431">
      <w:pPr>
        <w:spacing w:after="0" w:line="259" w:lineRule="auto"/>
        <w:ind w:left="34" w:firstLine="0"/>
      </w:pPr>
    </w:p>
    <w:p w14:paraId="374F8931" w14:textId="77777777" w:rsidR="00C50431" w:rsidRDefault="00727C5F">
      <w:pPr>
        <w:ind w:left="29"/>
      </w:pPr>
      <w:r>
        <w:t xml:space="preserve">Läkemedel ska inte kastas i avloppet eller bland hushållsavfall. </w:t>
      </w:r>
    </w:p>
    <w:p w14:paraId="374F8932" w14:textId="77777777" w:rsidR="00C50431" w:rsidRDefault="00C50431">
      <w:pPr>
        <w:spacing w:after="0" w:line="259" w:lineRule="auto"/>
        <w:ind w:left="34" w:firstLine="0"/>
      </w:pPr>
    </w:p>
    <w:p w14:paraId="374F8933" w14:textId="77777777" w:rsidR="00C50431" w:rsidRDefault="00727C5F">
      <w:pPr>
        <w:ind w:left="29"/>
      </w:pPr>
      <w:r>
        <w:t xml:space="preserve">Använd retursystem för kassering av ej använt läkemedel eller avfall från läkemedelsanvändningen i enlighet med lokala bestämmelser. </w:t>
      </w:r>
    </w:p>
    <w:p w14:paraId="374F8934" w14:textId="77777777" w:rsidR="00C50431" w:rsidRDefault="00C50431">
      <w:pPr>
        <w:spacing w:after="9" w:line="259" w:lineRule="auto"/>
        <w:ind w:left="34" w:firstLine="0"/>
      </w:pPr>
    </w:p>
    <w:p w14:paraId="374F8935" w14:textId="77777777" w:rsidR="00C50431" w:rsidRDefault="00727C5F">
      <w:pPr>
        <w:numPr>
          <w:ilvl w:val="0"/>
          <w:numId w:val="2"/>
        </w:numPr>
        <w:spacing w:after="11"/>
        <w:ind w:hanging="566"/>
      </w:pPr>
      <w:r>
        <w:rPr>
          <w:b/>
        </w:rPr>
        <w:t xml:space="preserve">INNEHAVARE AV GODKÄNNANDE FÖR FÖRSÄLJNING </w:t>
      </w:r>
    </w:p>
    <w:p w14:paraId="374F8936" w14:textId="77777777" w:rsidR="00C50431" w:rsidRDefault="00C50431">
      <w:pPr>
        <w:spacing w:after="0" w:line="259" w:lineRule="auto"/>
        <w:ind w:left="34" w:firstLine="0"/>
      </w:pPr>
    </w:p>
    <w:p w14:paraId="374F8937" w14:textId="77777777" w:rsidR="00C50431" w:rsidRDefault="00727C5F">
      <w:pPr>
        <w:spacing w:after="0" w:line="259" w:lineRule="auto"/>
        <w:ind w:left="34" w:firstLine="0"/>
      </w:pPr>
      <w:r>
        <w:t xml:space="preserve">KRKA, </w:t>
      </w:r>
      <w:proofErr w:type="spellStart"/>
      <w:r>
        <w:t>d.d</w:t>
      </w:r>
      <w:proofErr w:type="spellEnd"/>
      <w:r>
        <w:t xml:space="preserve">., Novo </w:t>
      </w:r>
      <w:proofErr w:type="spellStart"/>
      <w:r>
        <w:t>mesto</w:t>
      </w:r>
      <w:proofErr w:type="spellEnd"/>
    </w:p>
    <w:p w14:paraId="374F8938" w14:textId="77777777" w:rsidR="00C50431" w:rsidRDefault="00C50431">
      <w:pPr>
        <w:spacing w:after="0" w:line="259" w:lineRule="auto"/>
        <w:ind w:left="34" w:firstLine="0"/>
      </w:pPr>
    </w:p>
    <w:p w14:paraId="374F8939" w14:textId="77777777" w:rsidR="00C50431" w:rsidRDefault="00C50431">
      <w:pPr>
        <w:spacing w:after="9" w:line="259" w:lineRule="auto"/>
        <w:ind w:left="34" w:firstLine="0"/>
      </w:pPr>
    </w:p>
    <w:p w14:paraId="374F893A" w14:textId="77777777" w:rsidR="00C50431" w:rsidRDefault="00727C5F">
      <w:pPr>
        <w:numPr>
          <w:ilvl w:val="0"/>
          <w:numId w:val="2"/>
        </w:numPr>
        <w:spacing w:after="11"/>
        <w:ind w:hanging="566"/>
      </w:pPr>
      <w:r>
        <w:rPr>
          <w:b/>
        </w:rPr>
        <w:t xml:space="preserve">NUMMER PÅ GODKÄNNANDE FÖR FÖRSÄLJNING </w:t>
      </w:r>
    </w:p>
    <w:p w14:paraId="374F893B" w14:textId="77777777" w:rsidR="00C50431" w:rsidRDefault="00C50431">
      <w:pPr>
        <w:spacing w:after="0" w:line="259" w:lineRule="auto"/>
        <w:ind w:left="34" w:firstLine="0"/>
      </w:pPr>
    </w:p>
    <w:p w14:paraId="374F893C" w14:textId="77777777" w:rsidR="00C50431" w:rsidRDefault="00727C5F">
      <w:pPr>
        <w:spacing w:after="6" w:line="259" w:lineRule="auto"/>
        <w:ind w:left="34" w:firstLine="0"/>
      </w:pPr>
      <w:proofErr w:type="gramStart"/>
      <w:r>
        <w:t>67038</w:t>
      </w:r>
      <w:proofErr w:type="gramEnd"/>
    </w:p>
    <w:p w14:paraId="374F893D" w14:textId="77777777" w:rsidR="00C50431" w:rsidRDefault="00C50431">
      <w:pPr>
        <w:spacing w:after="6" w:line="259" w:lineRule="auto"/>
        <w:ind w:left="34" w:firstLine="0"/>
      </w:pPr>
    </w:p>
    <w:p w14:paraId="374F893E" w14:textId="77777777" w:rsidR="00C50431" w:rsidRDefault="00C50431">
      <w:pPr>
        <w:spacing w:after="6" w:line="259" w:lineRule="auto"/>
        <w:ind w:left="34" w:firstLine="0"/>
      </w:pPr>
    </w:p>
    <w:p w14:paraId="374F893F" w14:textId="77777777" w:rsidR="00C50431" w:rsidRDefault="00727C5F">
      <w:pPr>
        <w:pStyle w:val="Overskrift1"/>
        <w:tabs>
          <w:tab w:val="center" w:pos="2662"/>
        </w:tabs>
        <w:ind w:left="0" w:right="0" w:firstLine="0"/>
      </w:pPr>
      <w:r>
        <w:t xml:space="preserve">8. </w:t>
      </w:r>
      <w:r>
        <w:tab/>
        <w:t xml:space="preserve">DATUM FÖR FÖRSTA GODKÄNNANDE </w:t>
      </w:r>
    </w:p>
    <w:p w14:paraId="374F8940" w14:textId="77777777" w:rsidR="00C50431" w:rsidRDefault="00C50431">
      <w:pPr>
        <w:spacing w:after="0" w:line="259" w:lineRule="auto"/>
        <w:ind w:left="34" w:firstLine="0"/>
      </w:pPr>
    </w:p>
    <w:p w14:paraId="374F8941" w14:textId="77777777" w:rsidR="00C50431" w:rsidRDefault="00727C5F">
      <w:pPr>
        <w:spacing w:after="0" w:line="259" w:lineRule="auto"/>
        <w:ind w:left="34" w:firstLine="0"/>
      </w:pPr>
      <w:r>
        <w:t>Datum för första godkännandet: 2025-10-17</w:t>
      </w:r>
    </w:p>
    <w:p w14:paraId="374F8942" w14:textId="77777777" w:rsidR="00C50431" w:rsidRDefault="00C50431">
      <w:pPr>
        <w:spacing w:after="6" w:line="259" w:lineRule="auto"/>
        <w:ind w:left="34" w:firstLine="0"/>
      </w:pPr>
    </w:p>
    <w:p w14:paraId="374F8943" w14:textId="77777777" w:rsidR="00C50431" w:rsidRDefault="00C50431">
      <w:pPr>
        <w:spacing w:after="6" w:line="259" w:lineRule="auto"/>
        <w:ind w:left="34" w:firstLine="0"/>
      </w:pPr>
    </w:p>
    <w:p w14:paraId="374F8944" w14:textId="77777777" w:rsidR="00C50431" w:rsidRDefault="00727C5F">
      <w:pPr>
        <w:pStyle w:val="Overskrift1"/>
        <w:tabs>
          <w:tab w:val="center" w:pos="3683"/>
        </w:tabs>
        <w:ind w:left="0" w:right="0" w:firstLine="0"/>
      </w:pPr>
      <w:r>
        <w:t xml:space="preserve">9. </w:t>
      </w:r>
      <w:r>
        <w:tab/>
        <w:t xml:space="preserve">DATUM FÖR SENASTE ÖVERSYN AV PRODUKTRESUMÉN </w:t>
      </w:r>
    </w:p>
    <w:p w14:paraId="374F8945" w14:textId="77777777" w:rsidR="00C50431" w:rsidRDefault="00C50431">
      <w:pPr>
        <w:spacing w:after="0" w:line="259" w:lineRule="auto"/>
        <w:ind w:left="0" w:firstLine="0"/>
      </w:pPr>
    </w:p>
    <w:p w14:paraId="374F8946" w14:textId="77777777" w:rsidR="00C50431" w:rsidRDefault="00C50431">
      <w:pPr>
        <w:spacing w:after="9" w:line="259" w:lineRule="auto"/>
        <w:ind w:left="34" w:firstLine="0"/>
      </w:pPr>
    </w:p>
    <w:p w14:paraId="374F8947" w14:textId="77777777" w:rsidR="00C50431" w:rsidRDefault="00727C5F">
      <w:pPr>
        <w:pStyle w:val="Overskrift2"/>
        <w:tabs>
          <w:tab w:val="center" w:pos="4224"/>
        </w:tabs>
        <w:ind w:left="0" w:right="0" w:firstLine="0"/>
      </w:pPr>
      <w:r>
        <w:t xml:space="preserve">10. </w:t>
      </w:r>
      <w:r>
        <w:tab/>
        <w:t xml:space="preserve">KLASSIFICERING AV DET VETERINÄRMEDICINSKA LÄKEMEDLET </w:t>
      </w:r>
    </w:p>
    <w:p w14:paraId="374F8948" w14:textId="77777777" w:rsidR="00C50431" w:rsidRDefault="00C50431">
      <w:pPr>
        <w:spacing w:after="0" w:line="259" w:lineRule="auto"/>
        <w:ind w:left="34" w:firstLine="0"/>
      </w:pPr>
    </w:p>
    <w:p w14:paraId="374F8949" w14:textId="77777777" w:rsidR="00C50431" w:rsidRDefault="00727C5F">
      <w:pPr>
        <w:ind w:left="29"/>
      </w:pPr>
      <w:r>
        <w:t>Receptbelagt läkemedel.</w:t>
      </w:r>
    </w:p>
    <w:p w14:paraId="374F894A" w14:textId="77777777" w:rsidR="00C50431" w:rsidRDefault="00C50431">
      <w:pPr>
        <w:spacing w:after="0" w:line="259" w:lineRule="auto"/>
        <w:ind w:left="34" w:firstLine="0"/>
      </w:pPr>
    </w:p>
    <w:p w14:paraId="374F894B" w14:textId="77777777" w:rsidR="00C50431" w:rsidRDefault="00727C5F">
      <w:pPr>
        <w:ind w:left="0" w:firstLine="0"/>
      </w:pPr>
      <w:r>
        <w:t xml:space="preserve">Utförlig information om detta läkemedel finns i unionens produktdatabas </w:t>
      </w:r>
      <w:hyperlink r:id="rId10">
        <w:r>
          <w:t>(</w:t>
        </w:r>
      </w:hyperlink>
      <w:hyperlink r:id="rId11">
        <w:r>
          <w:rPr>
            <w:color w:val="0000FF"/>
            <w:u w:val="single" w:color="0000FF"/>
          </w:rPr>
          <w:t>https://medicines.health.europa.eu/veterinary</w:t>
        </w:r>
      </w:hyperlink>
      <w:hyperlink r:id="rId12">
        <w:r>
          <w:t>)</w:t>
        </w:r>
      </w:hyperlink>
      <w:r>
        <w:t>.</w:t>
      </w:r>
    </w:p>
    <w:sectPr w:rsidR="00C50431">
      <w:headerReference w:type="even" r:id="rId13"/>
      <w:headerReference w:type="default" r:id="rId14"/>
      <w:footerReference w:type="even" r:id="rId15"/>
      <w:footerReference w:type="default" r:id="rId16"/>
      <w:headerReference w:type="first" r:id="rId17"/>
      <w:footerReference w:type="first" r:id="rId18"/>
      <w:pgSz w:w="11906" w:h="16841"/>
      <w:pgMar w:top="1183" w:right="1416" w:bottom="1152" w:left="1385" w:header="720" w:footer="7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41B70" w14:textId="77777777" w:rsidR="00F1413F" w:rsidRDefault="00F1413F">
      <w:pPr>
        <w:spacing w:after="0" w:line="240" w:lineRule="auto"/>
      </w:pPr>
      <w:r>
        <w:separator/>
      </w:r>
    </w:p>
  </w:endnote>
  <w:endnote w:type="continuationSeparator" w:id="0">
    <w:p w14:paraId="55661AA3" w14:textId="77777777" w:rsidR="00F1413F" w:rsidRDefault="00F14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F8952" w14:textId="77777777" w:rsidR="00C50431" w:rsidRDefault="00727C5F">
    <w:pPr>
      <w:spacing w:after="0" w:line="259" w:lineRule="auto"/>
      <w:ind w:left="0" w:right="4496" w:firstLine="0"/>
      <w:jc w:val="right"/>
    </w:pPr>
    <w:r>
      <w:fldChar w:fldCharType="begin"/>
    </w:r>
    <w:r>
      <w:instrText xml:space="preserve"> PAGE   \* MERGEFORMAT </w:instrText>
    </w:r>
    <w:r>
      <w:fldChar w:fldCharType="separate"/>
    </w:r>
    <w:r>
      <w:rPr>
        <w:sz w:val="16"/>
      </w:rPr>
      <w:t>1</w:t>
    </w:r>
    <w:r>
      <w:rPr>
        <w:sz w:val="16"/>
      </w:rPr>
      <w:fldChar w:fldCharType="end"/>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F8953" w14:textId="77777777" w:rsidR="00C50431" w:rsidRDefault="00727C5F">
    <w:pPr>
      <w:spacing w:after="0" w:line="259" w:lineRule="auto"/>
      <w:ind w:left="0" w:right="4496" w:firstLine="0"/>
      <w:jc w:val="right"/>
    </w:pPr>
    <w:r>
      <w:fldChar w:fldCharType="begin"/>
    </w:r>
    <w:r>
      <w:instrText xml:space="preserve"> PAGE   \* MERGEFORMAT </w:instrText>
    </w:r>
    <w:r>
      <w:fldChar w:fldCharType="separate"/>
    </w:r>
    <w:r>
      <w:rPr>
        <w:noProof/>
        <w:sz w:val="16"/>
      </w:rPr>
      <w:t>4</w:t>
    </w:r>
    <w:r>
      <w:rPr>
        <w:sz w:val="16"/>
      </w:rPr>
      <w:fldChar w:fldCharType="end"/>
    </w:r>
    <w:r>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F8955" w14:textId="77777777" w:rsidR="00C50431" w:rsidRDefault="00727C5F">
    <w:pPr>
      <w:spacing w:after="0" w:line="259" w:lineRule="auto"/>
      <w:ind w:left="0" w:right="4496" w:firstLine="0"/>
      <w:jc w:val="right"/>
    </w:pPr>
    <w:r>
      <w:fldChar w:fldCharType="begin"/>
    </w:r>
    <w:r>
      <w:instrText xml:space="preserve"> PAGE   \* MERGEFORMAT </w:instrText>
    </w:r>
    <w:r>
      <w:fldChar w:fldCharType="separate"/>
    </w:r>
    <w:r>
      <w:rPr>
        <w:sz w:val="16"/>
      </w:rPr>
      <w:t>1</w:t>
    </w:r>
    <w:r>
      <w:rPr>
        <w:sz w:val="16"/>
      </w:rPr>
      <w:fldChar w:fldCharType="end"/>
    </w:r>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3EDBF" w14:textId="77777777" w:rsidR="00F1413F" w:rsidRDefault="00F1413F">
      <w:pPr>
        <w:spacing w:after="0" w:line="240" w:lineRule="auto"/>
      </w:pPr>
      <w:r>
        <w:separator/>
      </w:r>
    </w:p>
  </w:footnote>
  <w:footnote w:type="continuationSeparator" w:id="0">
    <w:p w14:paraId="4822D556" w14:textId="77777777" w:rsidR="00F1413F" w:rsidRDefault="00F141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F8950" w14:textId="77777777" w:rsidR="00C50431" w:rsidRDefault="00C50431">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F8951" w14:textId="77777777" w:rsidR="00C50431" w:rsidRDefault="00C50431">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F8954" w14:textId="77777777" w:rsidR="00C50431" w:rsidRDefault="00C50431">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C44C3"/>
    <w:multiLevelType w:val="hybridMultilevel"/>
    <w:tmpl w:val="62467554"/>
    <w:lvl w:ilvl="0" w:tplc="3A648068">
      <w:start w:val="1"/>
      <w:numFmt w:val="decimal"/>
      <w:lvlText w:val="%1."/>
      <w:lvlJc w:val="left"/>
      <w:pPr>
        <w:ind w:left="58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D3D3D3"/>
        <w:vertAlign w:val="baseline"/>
      </w:rPr>
    </w:lvl>
    <w:lvl w:ilvl="1" w:tplc="762E4154">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D3D3D3"/>
        <w:vertAlign w:val="baseline"/>
      </w:rPr>
    </w:lvl>
    <w:lvl w:ilvl="2" w:tplc="A85C553A">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D3D3D3"/>
        <w:vertAlign w:val="baseline"/>
      </w:rPr>
    </w:lvl>
    <w:lvl w:ilvl="3" w:tplc="F02C5B2E">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D3D3D3"/>
        <w:vertAlign w:val="baseline"/>
      </w:rPr>
    </w:lvl>
    <w:lvl w:ilvl="4" w:tplc="8D5A5840">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D3D3D3"/>
        <w:vertAlign w:val="baseline"/>
      </w:rPr>
    </w:lvl>
    <w:lvl w:ilvl="5" w:tplc="002E2620">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D3D3D3"/>
        <w:vertAlign w:val="baseline"/>
      </w:rPr>
    </w:lvl>
    <w:lvl w:ilvl="6" w:tplc="11FA13F0">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D3D3D3"/>
        <w:vertAlign w:val="baseline"/>
      </w:rPr>
    </w:lvl>
    <w:lvl w:ilvl="7" w:tplc="5AEEAF6C">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D3D3D3"/>
        <w:vertAlign w:val="baseline"/>
      </w:rPr>
    </w:lvl>
    <w:lvl w:ilvl="8" w:tplc="607E210E">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D3D3D3"/>
        <w:vertAlign w:val="baseline"/>
      </w:rPr>
    </w:lvl>
  </w:abstractNum>
  <w:abstractNum w:abstractNumId="1" w15:restartNumberingAfterBreak="0">
    <w:nsid w:val="499464B5"/>
    <w:multiLevelType w:val="hybridMultilevel"/>
    <w:tmpl w:val="682CEAB2"/>
    <w:lvl w:ilvl="0" w:tplc="3BC8C212">
      <w:start w:val="13"/>
      <w:numFmt w:val="decimal"/>
      <w:lvlText w:val="%1."/>
      <w:lvlJc w:val="left"/>
      <w:pPr>
        <w:ind w:left="58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D3D3D3"/>
        <w:vertAlign w:val="baseline"/>
      </w:rPr>
    </w:lvl>
    <w:lvl w:ilvl="1" w:tplc="C4C67450">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D3D3D3"/>
        <w:vertAlign w:val="baseline"/>
      </w:rPr>
    </w:lvl>
    <w:lvl w:ilvl="2" w:tplc="AE9899B2">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D3D3D3"/>
        <w:vertAlign w:val="baseline"/>
      </w:rPr>
    </w:lvl>
    <w:lvl w:ilvl="3" w:tplc="DD1E7BD4">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D3D3D3"/>
        <w:vertAlign w:val="baseline"/>
      </w:rPr>
    </w:lvl>
    <w:lvl w:ilvl="4" w:tplc="E904FFFC">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D3D3D3"/>
        <w:vertAlign w:val="baseline"/>
      </w:rPr>
    </w:lvl>
    <w:lvl w:ilvl="5" w:tplc="0ECC1E0E">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D3D3D3"/>
        <w:vertAlign w:val="baseline"/>
      </w:rPr>
    </w:lvl>
    <w:lvl w:ilvl="6" w:tplc="416ADC46">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D3D3D3"/>
        <w:vertAlign w:val="baseline"/>
      </w:rPr>
    </w:lvl>
    <w:lvl w:ilvl="7" w:tplc="FA761FCC">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D3D3D3"/>
        <w:vertAlign w:val="baseline"/>
      </w:rPr>
    </w:lvl>
    <w:lvl w:ilvl="8" w:tplc="464C24C6">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D3D3D3"/>
        <w:vertAlign w:val="baseline"/>
      </w:rPr>
    </w:lvl>
  </w:abstractNum>
  <w:abstractNum w:abstractNumId="2" w15:restartNumberingAfterBreak="0">
    <w:nsid w:val="540927B1"/>
    <w:multiLevelType w:val="hybridMultilevel"/>
    <w:tmpl w:val="D7F68830"/>
    <w:lvl w:ilvl="0" w:tplc="482E5C42">
      <w:start w:val="1"/>
      <w:numFmt w:val="decimal"/>
      <w:lvlText w:val="%1."/>
      <w:lvlJc w:val="left"/>
      <w:pPr>
        <w:ind w:left="58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D2EC4C7E">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D8F85736">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20B408D0">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63D2CD6A">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F7A417DC">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C6A2AA5E">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8056FA90">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33409268">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6C87C7F"/>
    <w:multiLevelType w:val="hybridMultilevel"/>
    <w:tmpl w:val="E7E61C56"/>
    <w:lvl w:ilvl="0" w:tplc="32229240">
      <w:start w:val="6"/>
      <w:numFmt w:val="decimal"/>
      <w:lvlText w:val="%1."/>
      <w:lvlJc w:val="left"/>
      <w:pPr>
        <w:ind w:left="58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239ECD2E">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DB4453B0">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03D42424">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F91C5FF6">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B69E6FFC">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A5620DA0">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247E4B24">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013A8B38">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16cid:durableId="1160924708">
    <w:abstractNumId w:val="2"/>
  </w:num>
  <w:num w:numId="2" w16cid:durableId="434404180">
    <w:abstractNumId w:val="3"/>
  </w:num>
  <w:num w:numId="3" w16cid:durableId="1903757556">
    <w:abstractNumId w:val="0"/>
  </w:num>
  <w:num w:numId="4" w16cid:durableId="1547641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431"/>
    <w:rsid w:val="001B769E"/>
    <w:rsid w:val="001F089A"/>
    <w:rsid w:val="00641EE1"/>
    <w:rsid w:val="00727C5F"/>
    <w:rsid w:val="00C50431"/>
    <w:rsid w:val="00F1413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F8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 w:line="248" w:lineRule="auto"/>
      <w:ind w:left="44" w:hanging="10"/>
    </w:pPr>
    <w:rPr>
      <w:rFonts w:ascii="Times New Roman" w:eastAsia="Times New Roman" w:hAnsi="Times New Roman" w:cs="Times New Roman"/>
      <w:color w:val="000000"/>
      <w:sz w:val="22"/>
    </w:rPr>
  </w:style>
  <w:style w:type="paragraph" w:styleId="Overskrift1">
    <w:name w:val="heading 1"/>
    <w:next w:val="Normal"/>
    <w:link w:val="Overskrift1Tegn"/>
    <w:uiPriority w:val="9"/>
    <w:qFormat/>
    <w:pPr>
      <w:keepNext/>
      <w:keepLines/>
      <w:spacing w:after="11" w:line="248" w:lineRule="auto"/>
      <w:ind w:left="10" w:right="4030" w:hanging="10"/>
      <w:outlineLvl w:val="0"/>
    </w:pPr>
    <w:rPr>
      <w:rFonts w:ascii="Times New Roman" w:eastAsia="Times New Roman" w:hAnsi="Times New Roman" w:cs="Times New Roman"/>
      <w:b/>
      <w:color w:val="000000"/>
      <w:sz w:val="22"/>
    </w:rPr>
  </w:style>
  <w:style w:type="paragraph" w:styleId="Overskrift2">
    <w:name w:val="heading 2"/>
    <w:next w:val="Normal"/>
    <w:link w:val="Overskrift2Tegn"/>
    <w:uiPriority w:val="9"/>
    <w:unhideWhenUsed/>
    <w:qFormat/>
    <w:pPr>
      <w:keepNext/>
      <w:keepLines/>
      <w:spacing w:after="11" w:line="248" w:lineRule="auto"/>
      <w:ind w:left="10" w:right="4030" w:hanging="10"/>
      <w:outlineLvl w:val="1"/>
    </w:pPr>
    <w:rPr>
      <w:rFonts w:ascii="Times New Roman" w:eastAsia="Times New Roman" w:hAnsi="Times New Roman" w:cs="Times New Roman"/>
      <w:b/>
      <w:color w:val="000000"/>
      <w:sz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link w:val="Overskrift1"/>
    <w:uiPriority w:val="9"/>
    <w:rPr>
      <w:rFonts w:ascii="Times New Roman" w:eastAsia="Times New Roman" w:hAnsi="Times New Roman" w:cs="Times New Roman"/>
      <w:b/>
      <w:color w:val="000000"/>
      <w:sz w:val="22"/>
    </w:rPr>
  </w:style>
  <w:style w:type="character" w:customStyle="1" w:styleId="Overskrift2Tegn">
    <w:name w:val="Overskrift 2 Tegn"/>
    <w:link w:val="Overskrift2"/>
    <w:uiPriority w:val="9"/>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Standardskrifttypeiafsnit"/>
    <w:uiPriority w:val="99"/>
    <w:unhideWhenUsed/>
    <w:rPr>
      <w:color w:val="467886" w:themeColor="hyperlink"/>
      <w:u w:val="single"/>
    </w:rPr>
  </w:style>
  <w:style w:type="paragraph" w:styleId="Ingenafstand">
    <w:name w:val="No Spacing"/>
    <w:uiPriority w:val="1"/>
    <w:qFormat/>
    <w:pPr>
      <w:spacing w:after="0" w:line="240" w:lineRule="auto"/>
      <w:ind w:left="44" w:hanging="10"/>
    </w:pPr>
    <w:rPr>
      <w:rFonts w:ascii="Times New Roman" w:eastAsia="Times New Roman" w:hAnsi="Times New Roman" w:cs="Times New Roman"/>
      <w:color w:val="000000"/>
      <w:sz w:val="22"/>
    </w:rPr>
  </w:style>
  <w:style w:type="paragraph" w:styleId="Sidehoved">
    <w:name w:val="header"/>
    <w:basedOn w:val="Normal"/>
    <w:link w:val="SidehovedTegn"/>
    <w:uiPriority w:val="99"/>
    <w:unhideWhenUsed/>
    <w:pPr>
      <w:tabs>
        <w:tab w:val="center" w:pos="4536"/>
        <w:tab w:val="right" w:pos="9072"/>
      </w:tabs>
      <w:spacing w:after="0" w:line="240" w:lineRule="auto"/>
    </w:pPr>
  </w:style>
  <w:style w:type="character" w:customStyle="1" w:styleId="SidehovedTegn">
    <w:name w:val="Sidehoved Tegn"/>
    <w:basedOn w:val="Standardskrifttypeiafsnit"/>
    <w:link w:val="Sidehoved"/>
    <w:uiPriority w:val="99"/>
    <w:rPr>
      <w:rFonts w:ascii="Times New Roman" w:eastAsia="Times New Roman" w:hAnsi="Times New Roman" w:cs="Times New Roman"/>
      <w:color w:val="000000"/>
      <w:sz w:val="22"/>
    </w:rPr>
  </w:style>
  <w:style w:type="paragraph" w:styleId="Korrektur">
    <w:name w:val="Revision"/>
    <w:hidden/>
    <w:uiPriority w:val="99"/>
    <w:semiHidden/>
    <w:pPr>
      <w:spacing w:after="0" w:line="240" w:lineRule="auto"/>
    </w:pPr>
    <w:rPr>
      <w:rFonts w:ascii="Times New Roman" w:eastAsia="Times New Roman" w:hAnsi="Times New Roman" w:cs="Times New Roman"/>
      <w:color w:val="000000"/>
      <w:sz w:val="22"/>
    </w:rPr>
  </w:style>
  <w:style w:type="character" w:styleId="Kommentarhenvisning">
    <w:name w:val="annotation reference"/>
    <w:basedOn w:val="Standardskrifttypeiafsnit"/>
    <w:uiPriority w:val="99"/>
    <w:semiHidden/>
    <w:unhideWhenUsed/>
    <w:rPr>
      <w:sz w:val="16"/>
      <w:szCs w:val="16"/>
    </w:rPr>
  </w:style>
  <w:style w:type="paragraph" w:styleId="Kommentartekst">
    <w:name w:val="annotation text"/>
    <w:basedOn w:val="Normal"/>
    <w:link w:val="KommentartekstTegn"/>
    <w:uiPriority w:val="99"/>
    <w:unhideWhenUsed/>
    <w:pPr>
      <w:spacing w:line="240" w:lineRule="auto"/>
    </w:pPr>
    <w:rPr>
      <w:sz w:val="20"/>
      <w:szCs w:val="20"/>
    </w:rPr>
  </w:style>
  <w:style w:type="character" w:customStyle="1" w:styleId="KommentartekstTegn">
    <w:name w:val="Kommentartekst Tegn"/>
    <w:basedOn w:val="Standardskrifttypeiafsnit"/>
    <w:link w:val="Kommentartekst"/>
    <w:uiPriority w:val="99"/>
    <w:rPr>
      <w:rFonts w:ascii="Times New Roman" w:eastAsia="Times New Roman" w:hAnsi="Times New Roman" w:cs="Times New Roman"/>
      <w:color w:val="000000"/>
      <w:sz w:val="20"/>
      <w:szCs w:val="20"/>
    </w:rPr>
  </w:style>
  <w:style w:type="paragraph" w:styleId="Kommentaremne">
    <w:name w:val="annotation subject"/>
    <w:basedOn w:val="Kommentartekst"/>
    <w:next w:val="Kommentartekst"/>
    <w:link w:val="KommentaremneTegn"/>
    <w:uiPriority w:val="99"/>
    <w:semiHidden/>
    <w:unhideWhenUsed/>
    <w:rPr>
      <w:b/>
      <w:bCs/>
    </w:rPr>
  </w:style>
  <w:style w:type="character" w:customStyle="1" w:styleId="KommentaremneTegn">
    <w:name w:val="Kommentaremne Tegn"/>
    <w:basedOn w:val="KommentartekstTegn"/>
    <w:link w:val="Kommentaremne"/>
    <w:uiPriority w:val="99"/>
    <w:semiHidden/>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edicines.health.europa.eu/veterinary"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edicines.health.europa.eu/veterinary"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medicines.health.europa.eu/veterinary"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AE4F7317685D94981732EBA8A48D20D" ma:contentTypeVersion="13" ma:contentTypeDescription="Opret et nyt dokument." ma:contentTypeScope="" ma:versionID="88649adcede7ae3a0b68d6883e6d0eea">
  <xsd:schema xmlns:xsd="http://www.w3.org/2001/XMLSchema" xmlns:xs="http://www.w3.org/2001/XMLSchema" xmlns:p="http://schemas.microsoft.com/office/2006/metadata/properties" xmlns:ns2="bfd5c03a-c2be-44c0-8f9b-1061f533a101" xmlns:ns3="a8a7e411-af67-4d12-bf6f-cb36ef186370" targetNamespace="http://schemas.microsoft.com/office/2006/metadata/properties" ma:root="true" ma:fieldsID="ca34b7b117d58fcb61b4fe114eaeb398" ns2:_="" ns3:_="">
    <xsd:import namespace="bfd5c03a-c2be-44c0-8f9b-1061f533a101"/>
    <xsd:import namespace="a8a7e411-af67-4d12-bf6f-cb36ef18637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d5c03a-c2be-44c0-8f9b-1061f533a1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ledmærker" ma:readOnly="false" ma:fieldId="{5cf76f15-5ced-4ddc-b409-7134ff3c332f}" ma:taxonomyMulti="true" ma:sspId="7220eabf-cdaa-43a3-85bf-267e12f34e2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a7e411-af67-4d12-bf6f-cb36ef18637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0903097-859b-402c-a2ec-cb2f9ea23102}" ma:internalName="TaxCatchAll" ma:showField="CatchAllData" ma:web="a8a7e411-af67-4d12-bf6f-cb36ef18637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d5c03a-c2be-44c0-8f9b-1061f533a101">
      <Terms xmlns="http://schemas.microsoft.com/office/infopath/2007/PartnerControls"/>
    </lcf76f155ced4ddcb4097134ff3c332f>
    <TaxCatchAll xmlns="a8a7e411-af67-4d12-bf6f-cb36ef186370" xsi:nil="true"/>
    <SharedWithUsers xmlns="a8a7e411-af67-4d12-bf6f-cb36ef186370">
      <UserInfo>
        <DisplayName/>
        <AccountId xsi:nil="true"/>
        <AccountType/>
      </UserInfo>
    </SharedWithUsers>
  </documentManagement>
</p:properties>
</file>

<file path=customXml/itemProps1.xml><?xml version="1.0" encoding="utf-8"?>
<ds:datastoreItem xmlns:ds="http://schemas.openxmlformats.org/officeDocument/2006/customXml" ds:itemID="{3B59FCEB-144F-4052-8754-B7ABB6C991DF}"/>
</file>

<file path=customXml/itemProps2.xml><?xml version="1.0" encoding="utf-8"?>
<ds:datastoreItem xmlns:ds="http://schemas.openxmlformats.org/officeDocument/2006/customXml" ds:itemID="{2BD7A431-9F7D-4AB7-A518-365DB6D7BF41}">
  <ds:schemaRefs>
    <ds:schemaRef ds:uri="http://schemas.microsoft.com/sharepoint/v3/contenttype/forms"/>
  </ds:schemaRefs>
</ds:datastoreItem>
</file>

<file path=customXml/itemProps3.xml><?xml version="1.0" encoding="utf-8"?>
<ds:datastoreItem xmlns:ds="http://schemas.openxmlformats.org/officeDocument/2006/customXml" ds:itemID="{C4C6D6BB-95B9-4ABB-8122-8B57040CE1D6}">
  <ds:schemaRefs>
    <ds:schemaRef ds:uri="http://schemas.microsoft.com/office/2006/metadata/properties"/>
    <ds:schemaRef ds:uri="http://schemas.microsoft.com/office/infopath/2007/PartnerControls"/>
    <ds:schemaRef ds:uri="bfd5c03a-c2be-44c0-8f9b-1061f533a101"/>
    <ds:schemaRef ds:uri="a8a7e411-af67-4d12-bf6f-cb36ef18637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2303</Words>
  <Characters>14055</Characters>
  <Application>Microsoft Office Word</Application>
  <DocSecurity>0</DocSecurity>
  <Lines>117</Lines>
  <Paragraphs>32</Paragraphs>
  <ScaleCrop>false</ScaleCrop>
  <Company/>
  <LinksUpToDate>false</LinksUpToDate>
  <CharactersWithSpaces>16326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
  <cp:revision>1</cp:revision>
  <dcterms:created xsi:type="dcterms:W3CDTF">2025-10-17T12:54:00Z</dcterms:created>
  <dcterms:modified xsi:type="dcterms:W3CDTF">2026-02-10T16:27:00Z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0x0101008AE4F7317685D94981732EBA8A48D20D</vt:lpwstr>
  </property>
  <property fmtid="{D5CDD505-2E9C-101B-9397-08002B2CF9AE}" pid="3" name="Order">
    <vt:r8>11129800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sv</vt:lpwstr>
  </property>
</Properties>
</file>